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7D08EA84" w:rsidR="0075069C" w:rsidRPr="00572BF7" w:rsidRDefault="0075069C" w:rsidP="006272FF">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 xml:space="preserve">RAN WG4 Meeting </w:t>
      </w:r>
      <w:r w:rsidR="00A57F1A" w:rsidRPr="00400E05">
        <w:rPr>
          <w:rFonts w:eastAsia="SimSun"/>
          <w:lang w:eastAsia="zh-CN"/>
        </w:rPr>
        <w:t>#</w:t>
      </w:r>
      <w:r w:rsidR="009A01DD" w:rsidRPr="00400E05">
        <w:rPr>
          <w:rFonts w:eastAsia="SimSun"/>
          <w:lang w:eastAsia="zh-CN"/>
        </w:rPr>
        <w:t>1</w:t>
      </w:r>
      <w:r w:rsidR="007626FC">
        <w:rPr>
          <w:rFonts w:eastAsia="SimSun"/>
          <w:lang w:eastAsia="zh-CN"/>
        </w:rPr>
        <w:t>1</w:t>
      </w:r>
      <w:r w:rsidR="00B143F9">
        <w:rPr>
          <w:rFonts w:eastAsia="SimSun"/>
          <w:lang w:eastAsia="zh-CN"/>
        </w:rPr>
        <w:t>6</w:t>
      </w:r>
      <w:r w:rsidR="007626FC">
        <w:rPr>
          <w:rFonts w:eastAsia="SimSun" w:hint="eastAsia"/>
          <w:lang w:eastAsia="zh-CN"/>
        </w:rPr>
        <w:t>bis</w:t>
      </w:r>
      <w:r w:rsidR="00B143F9">
        <w:rPr>
          <w:rFonts w:eastAsia="SimSun"/>
          <w:lang w:eastAsia="zh-CN"/>
        </w:rPr>
        <w:t xml:space="preserve"> </w:t>
      </w:r>
      <w:r w:rsidR="009E0064">
        <w:rPr>
          <w:rFonts w:cs="Arial"/>
          <w:sz w:val="20"/>
        </w:rPr>
        <w:t xml:space="preserve">    </w:t>
      </w:r>
      <w:r w:rsidR="00AB5F26">
        <w:rPr>
          <w:rFonts w:cs="Arial"/>
          <w:sz w:val="20"/>
        </w:rPr>
        <w:t xml:space="preserve">    </w:t>
      </w:r>
      <w:r>
        <w:rPr>
          <w:rFonts w:eastAsia="SimSun" w:hint="eastAsia"/>
          <w:lang w:eastAsia="zh-CN"/>
        </w:rPr>
        <w:t xml:space="preserve">            </w:t>
      </w:r>
      <w:r w:rsidR="00167F84">
        <w:rPr>
          <w:rFonts w:eastAsia="SimSun"/>
          <w:lang w:eastAsia="zh-CN"/>
        </w:rPr>
        <w:t xml:space="preserve">  </w:t>
      </w:r>
      <w:r>
        <w:rPr>
          <w:rFonts w:eastAsia="SimSun" w:hint="eastAsia"/>
          <w:lang w:eastAsia="zh-CN"/>
        </w:rPr>
        <w:t xml:space="preserve">                </w:t>
      </w:r>
      <w:r w:rsidR="00AE16DB">
        <w:rPr>
          <w:rFonts w:eastAsia="SimSun"/>
          <w:lang w:eastAsia="zh-CN"/>
        </w:rPr>
        <w:t xml:space="preserve">  </w:t>
      </w:r>
      <w:r w:rsidR="00FD5585" w:rsidRPr="00FD5585">
        <w:t>R4-</w:t>
      </w:r>
      <w:r w:rsidR="00E93D47">
        <w:t>2</w:t>
      </w:r>
      <w:r w:rsidR="007626FC">
        <w:t>5</w:t>
      </w:r>
      <w:r w:rsidR="004D2F46">
        <w:t>14418</w:t>
      </w:r>
    </w:p>
    <w:p w14:paraId="3CFF5B60" w14:textId="74F6F2D7" w:rsidR="00675C27" w:rsidRPr="00444A16" w:rsidRDefault="007626FC" w:rsidP="006272FF">
      <w:pPr>
        <w:pStyle w:val="a1"/>
        <w:jc w:val="both"/>
        <w:rPr>
          <w:rFonts w:eastAsia="SimSun"/>
          <w:lang w:eastAsia="zh-CN"/>
        </w:rPr>
      </w:pPr>
      <w:r>
        <w:rPr>
          <w:rFonts w:eastAsia="SimSun" w:hint="eastAsia"/>
          <w:lang w:eastAsia="zh-CN"/>
        </w:rPr>
        <w:t>Prague</w:t>
      </w:r>
      <w:r w:rsidR="00B143F9" w:rsidRPr="00B143F9">
        <w:rPr>
          <w:rFonts w:eastAsia="SimSun"/>
          <w:lang w:eastAsia="zh-CN"/>
        </w:rPr>
        <w:t xml:space="preserve">, </w:t>
      </w:r>
      <w:r>
        <w:rPr>
          <w:rFonts w:eastAsia="SimSun" w:hint="eastAsia"/>
          <w:lang w:eastAsia="zh-CN"/>
        </w:rPr>
        <w:t>Czech</w:t>
      </w:r>
      <w:r>
        <w:rPr>
          <w:rFonts w:eastAsia="SimSun"/>
          <w:lang w:eastAsia="zh-CN"/>
        </w:rPr>
        <w:t xml:space="preserve"> Republic</w:t>
      </w:r>
      <w:r w:rsidR="00B143F9" w:rsidRPr="00B143F9">
        <w:rPr>
          <w:rFonts w:eastAsia="SimSun"/>
          <w:lang w:eastAsia="zh-CN"/>
        </w:rPr>
        <w:t xml:space="preserve">, </w:t>
      </w:r>
      <w:r>
        <w:rPr>
          <w:rFonts w:eastAsia="SimSun"/>
          <w:lang w:eastAsia="zh-CN"/>
        </w:rPr>
        <w:t>Oct</w:t>
      </w:r>
      <w:r w:rsidR="00B143F9" w:rsidRPr="00B143F9">
        <w:rPr>
          <w:rFonts w:eastAsia="SimSun"/>
          <w:lang w:eastAsia="zh-CN"/>
        </w:rPr>
        <w:t xml:space="preserve"> </w:t>
      </w:r>
      <w:r>
        <w:rPr>
          <w:rFonts w:eastAsia="SimSun"/>
          <w:lang w:eastAsia="zh-CN"/>
        </w:rPr>
        <w:t>13</w:t>
      </w:r>
      <w:r w:rsidR="00B143F9" w:rsidRPr="00B143F9">
        <w:rPr>
          <w:rFonts w:eastAsia="SimSun"/>
          <w:lang w:eastAsia="zh-CN"/>
        </w:rPr>
        <w:t xml:space="preserve"> – </w:t>
      </w:r>
      <w:r>
        <w:rPr>
          <w:rFonts w:eastAsia="SimSun"/>
          <w:lang w:eastAsia="zh-CN"/>
        </w:rPr>
        <w:t>17</w:t>
      </w:r>
      <w:r w:rsidR="00B143F9" w:rsidRPr="00B143F9">
        <w:rPr>
          <w:rFonts w:eastAsia="SimSun"/>
          <w:lang w:eastAsia="zh-CN"/>
        </w:rPr>
        <w:t>, 202</w:t>
      </w:r>
      <w:r>
        <w:rPr>
          <w:rFonts w:eastAsia="SimSun"/>
          <w:lang w:eastAsia="zh-CN"/>
        </w:rPr>
        <w:t>5</w:t>
      </w:r>
    </w:p>
    <w:p w14:paraId="2B614592" w14:textId="77777777" w:rsidR="00F71A33" w:rsidRPr="00F71A3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E30185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65AB2" w:rsidRPr="00F65AB2">
        <w:rPr>
          <w:rFonts w:ascii="Arial" w:hAnsi="Arial" w:cs="Arial"/>
          <w:sz w:val="22"/>
        </w:rPr>
        <w:t>Discussion on HPUE RF requirements for NR single carrier operation</w:t>
      </w:r>
    </w:p>
    <w:p w14:paraId="1F9DFD8D" w14:textId="3E943B9F"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65AB2">
        <w:rPr>
          <w:rFonts w:ascii="Arial" w:hAnsi="Arial" w:cs="Arial"/>
          <w:sz w:val="22"/>
        </w:rPr>
        <w:t>7.1.4</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0FD2643C" w14:textId="4120579C" w:rsidR="00B9629D" w:rsidRDefault="00F65AB2" w:rsidP="006272FF">
      <w:pPr>
        <w:jc w:val="both"/>
      </w:pPr>
      <w:r w:rsidRPr="00F65AB2">
        <w:t>The phase 5 UE RF enhancements WID was approved [1]. One of the objectives is to introduce new power classes and/or new Tx architecture for HPUE. It’s worth noting that the work on two sub-objectives will not start until 2026 Q4.</w:t>
      </w:r>
    </w:p>
    <w:tbl>
      <w:tblPr>
        <w:tblStyle w:val="TableGrid"/>
        <w:tblW w:w="0" w:type="auto"/>
        <w:tblLook w:val="04A0" w:firstRow="1" w:lastRow="0" w:firstColumn="1" w:lastColumn="0" w:noHBand="0" w:noVBand="1"/>
      </w:tblPr>
      <w:tblGrid>
        <w:gridCol w:w="9631"/>
      </w:tblGrid>
      <w:tr w:rsidR="00F65AB2" w14:paraId="1D0E5909" w14:textId="77777777" w:rsidTr="00F65AB2">
        <w:tc>
          <w:tcPr>
            <w:tcW w:w="9631" w:type="dxa"/>
          </w:tcPr>
          <w:p w14:paraId="4A7A66EA" w14:textId="77777777" w:rsidR="00F65AB2" w:rsidRPr="00A61082" w:rsidRDefault="00F65AB2" w:rsidP="00F65AB2">
            <w:pPr>
              <w:spacing w:after="60"/>
              <w:jc w:val="both"/>
            </w:pPr>
            <w:r w:rsidRPr="00243D4C">
              <w:rPr>
                <w:b/>
              </w:rPr>
              <w:t xml:space="preserve">High power UE (HPUE) for </w:t>
            </w:r>
            <w:r>
              <w:rPr>
                <w:b/>
              </w:rPr>
              <w:t>NR single carrier operation</w:t>
            </w:r>
          </w:p>
          <w:p w14:paraId="54CB0522" w14:textId="77777777" w:rsidR="00F65AB2" w:rsidRPr="00E82761" w:rsidRDefault="00F65AB2" w:rsidP="00513C49">
            <w:pPr>
              <w:pStyle w:val="ListParagraph"/>
              <w:numPr>
                <w:ilvl w:val="0"/>
                <w:numId w:val="10"/>
              </w:numPr>
              <w:ind w:firstLine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0B90D94C" w14:textId="77777777" w:rsidR="00F65AB2" w:rsidRPr="00E82761" w:rsidRDefault="00F65AB2" w:rsidP="00513C49">
            <w:pPr>
              <w:pStyle w:val="ListParagraph"/>
              <w:numPr>
                <w:ilvl w:val="1"/>
                <w:numId w:val="10"/>
              </w:numPr>
              <w:ind w:firstLine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DengXian" w:hAnsi="Times New Roman" w:hint="eastAsia"/>
                <w:sz w:val="20"/>
                <w:szCs w:val="20"/>
              </w:rPr>
              <w:t>for ACLR, specify ACLR requirements if needed</w:t>
            </w:r>
          </w:p>
          <w:p w14:paraId="4EECFA52" w14:textId="77777777" w:rsidR="00F65AB2" w:rsidRPr="00E82761" w:rsidRDefault="00F65AB2" w:rsidP="00513C49">
            <w:pPr>
              <w:pStyle w:val="ListParagraph"/>
              <w:numPr>
                <w:ilvl w:val="1"/>
                <w:numId w:val="10"/>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744C0117" w14:textId="77777777" w:rsidR="00F65AB2" w:rsidRPr="00E82761" w:rsidRDefault="00F65AB2" w:rsidP="00513C49">
            <w:pPr>
              <w:pStyle w:val="ListParagraph"/>
              <w:numPr>
                <w:ilvl w:val="2"/>
                <w:numId w:val="10"/>
              </w:numPr>
              <w:ind w:firstLineChars="0"/>
              <w:rPr>
                <w:rFonts w:ascii="Times New Roman" w:hAnsi="Times New Roman"/>
                <w:sz w:val="20"/>
                <w:szCs w:val="20"/>
              </w:rPr>
            </w:pPr>
            <w:r w:rsidRPr="00E82761">
              <w:rPr>
                <w:rFonts w:ascii="Times New Roman" w:hAnsi="Times New Roman"/>
                <w:sz w:val="20"/>
                <w:szCs w:val="20"/>
              </w:rPr>
              <w:t xml:space="preserve">Supporting 4x4 UL MIMO and </w:t>
            </w:r>
            <w:proofErr w:type="spellStart"/>
            <w:r w:rsidRPr="00E82761">
              <w:rPr>
                <w:rFonts w:ascii="Times New Roman" w:hAnsi="Times New Roman"/>
                <w:sz w:val="20"/>
                <w:szCs w:val="20"/>
              </w:rPr>
              <w:t>TxD</w:t>
            </w:r>
            <w:proofErr w:type="spellEnd"/>
          </w:p>
          <w:p w14:paraId="22D2BF60" w14:textId="77777777" w:rsidR="00F65AB2" w:rsidRPr="00E82761" w:rsidRDefault="00F65AB2" w:rsidP="00513C49">
            <w:pPr>
              <w:pStyle w:val="ListParagraph"/>
              <w:numPr>
                <w:ilvl w:val="1"/>
                <w:numId w:val="10"/>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0A048EA2" w14:textId="77777777" w:rsidR="00F65AB2" w:rsidRPr="00E82761" w:rsidRDefault="00F65AB2" w:rsidP="00513C49">
            <w:pPr>
              <w:pStyle w:val="ListParagraph"/>
              <w:numPr>
                <w:ilvl w:val="2"/>
                <w:numId w:val="10"/>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6BE09EA3" w14:textId="77777777" w:rsidR="00F65AB2" w:rsidRPr="00E82761" w:rsidRDefault="00F65AB2" w:rsidP="00513C49">
            <w:pPr>
              <w:pStyle w:val="ListParagraph"/>
              <w:numPr>
                <w:ilvl w:val="1"/>
                <w:numId w:val="10"/>
              </w:numPr>
              <w:ind w:firstLineChars="0"/>
              <w:rPr>
                <w:rFonts w:ascii="Times New Roman" w:hAnsi="Times New Roman"/>
                <w:sz w:val="20"/>
                <w:szCs w:val="20"/>
              </w:rPr>
            </w:pPr>
            <w:r w:rsidRPr="00E82761">
              <w:rPr>
                <w:rFonts w:ascii="Times New Roman" w:eastAsia="DengXian" w:hAnsi="Times New Roman"/>
                <w:sz w:val="20"/>
                <w:szCs w:val="20"/>
              </w:rPr>
              <w:t>Maximum output power is up to 32 dBm</w:t>
            </w:r>
          </w:p>
          <w:p w14:paraId="2332BF7D" w14:textId="77777777" w:rsidR="00F65AB2" w:rsidRPr="00E82761" w:rsidRDefault="00F65AB2" w:rsidP="00513C49">
            <w:pPr>
              <w:pStyle w:val="ListParagraph"/>
              <w:numPr>
                <w:ilvl w:val="2"/>
                <w:numId w:val="10"/>
              </w:numPr>
              <w:ind w:firstLine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6CE8E404" w14:textId="77777777" w:rsidR="00F65AB2" w:rsidRDefault="00F65AB2" w:rsidP="00F65AB2"/>
          <w:p w14:paraId="3D8063D7" w14:textId="77777777" w:rsidR="00F65AB2" w:rsidRPr="00E82761" w:rsidRDefault="00F65AB2" w:rsidP="00513C49">
            <w:pPr>
              <w:pStyle w:val="ListParagraph"/>
              <w:numPr>
                <w:ilvl w:val="0"/>
                <w:numId w:val="10"/>
              </w:numPr>
              <w:ind w:firstLineChars="0"/>
              <w:rPr>
                <w:rFonts w:ascii="Times New Roman" w:hAnsi="Times New Roman"/>
                <w:sz w:val="20"/>
                <w:szCs w:val="20"/>
              </w:rPr>
            </w:pPr>
            <w:r w:rsidRPr="00E82761">
              <w:rPr>
                <w:rFonts w:ascii="Times New Roman" w:hAnsi="Times New Roman"/>
                <w:sz w:val="20"/>
                <w:szCs w:val="20"/>
              </w:rPr>
              <w:t>PC1.5 with 2Tx for FDD bands for handheld and FWA UE</w:t>
            </w:r>
          </w:p>
          <w:p w14:paraId="018308A6" w14:textId="77777777" w:rsidR="00F65AB2" w:rsidRPr="00E82761" w:rsidRDefault="00F65AB2" w:rsidP="00513C49">
            <w:pPr>
              <w:pStyle w:val="ListParagraph"/>
              <w:numPr>
                <w:ilvl w:val="1"/>
                <w:numId w:val="10"/>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1AEF7E1B" w14:textId="77777777" w:rsidR="00F65AB2" w:rsidRPr="00E82761" w:rsidRDefault="00F65AB2" w:rsidP="00513C49">
            <w:pPr>
              <w:pStyle w:val="ListParagraph"/>
              <w:numPr>
                <w:ilvl w:val="2"/>
                <w:numId w:val="10"/>
              </w:numPr>
              <w:ind w:firstLineChars="0"/>
              <w:rPr>
                <w:rFonts w:ascii="Times New Roman" w:hAnsi="Times New Roman"/>
                <w:sz w:val="20"/>
                <w:szCs w:val="20"/>
              </w:rPr>
            </w:pPr>
            <w:r w:rsidRPr="00E82761">
              <w:rPr>
                <w:rFonts w:ascii="Times New Roman" w:hAnsi="Times New Roman"/>
                <w:sz w:val="20"/>
                <w:szCs w:val="20"/>
              </w:rPr>
              <w:t xml:space="preserve">Supporting 2x2 UL MIMO and </w:t>
            </w:r>
            <w:proofErr w:type="spellStart"/>
            <w:r w:rsidRPr="00E82761">
              <w:rPr>
                <w:rFonts w:ascii="Times New Roman" w:hAnsi="Times New Roman"/>
                <w:sz w:val="20"/>
                <w:szCs w:val="20"/>
              </w:rPr>
              <w:t>TxD</w:t>
            </w:r>
            <w:proofErr w:type="spellEnd"/>
          </w:p>
          <w:p w14:paraId="70C59551" w14:textId="77777777" w:rsidR="00F65AB2" w:rsidRPr="00E82761" w:rsidRDefault="00F65AB2" w:rsidP="00513C49">
            <w:pPr>
              <w:pStyle w:val="ListParagraph"/>
              <w:numPr>
                <w:ilvl w:val="2"/>
                <w:numId w:val="10"/>
              </w:numPr>
              <w:ind w:firstLineChars="0"/>
              <w:rPr>
                <w:rFonts w:ascii="Times New Roman" w:hAnsi="Times New Roman"/>
                <w:sz w:val="20"/>
                <w:szCs w:val="20"/>
              </w:rPr>
            </w:pPr>
            <w:r w:rsidRPr="00E82761">
              <w:rPr>
                <w:rFonts w:ascii="Times New Roman" w:hAnsi="Times New Roman"/>
                <w:sz w:val="20"/>
                <w:szCs w:val="20"/>
              </w:rPr>
              <w:t>Baseline PA configuration: 2 x 26 dBm</w:t>
            </w:r>
          </w:p>
          <w:p w14:paraId="66FE4304" w14:textId="77777777" w:rsidR="00F65AB2" w:rsidRPr="00E82761" w:rsidRDefault="00F65AB2" w:rsidP="00513C49">
            <w:pPr>
              <w:pStyle w:val="ListParagraph"/>
              <w:numPr>
                <w:ilvl w:val="1"/>
                <w:numId w:val="10"/>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435DD8FA" w14:textId="77777777" w:rsidR="00F65AB2" w:rsidRPr="00E82761" w:rsidRDefault="00F65AB2" w:rsidP="00513C49">
            <w:pPr>
              <w:pStyle w:val="ListParagraph"/>
              <w:numPr>
                <w:ilvl w:val="1"/>
                <w:numId w:val="10"/>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0259D793" w14:textId="77777777" w:rsidR="00F65AB2" w:rsidRDefault="00F65AB2" w:rsidP="00F65AB2">
            <w:pPr>
              <w:rPr>
                <w:lang w:val="en-US"/>
              </w:rPr>
            </w:pPr>
          </w:p>
          <w:p w14:paraId="4BAFD355" w14:textId="77777777" w:rsidR="00F65AB2" w:rsidRPr="00D254EF" w:rsidRDefault="00F65AB2" w:rsidP="00513C49">
            <w:pPr>
              <w:pStyle w:val="ListParagraph"/>
              <w:numPr>
                <w:ilvl w:val="0"/>
                <w:numId w:val="10"/>
              </w:numPr>
              <w:ind w:firstLine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DengXian" w:hAnsi="Times New Roman" w:hint="eastAsia"/>
                <w:sz w:val="20"/>
                <w:szCs w:val="20"/>
              </w:rPr>
              <w:t xml:space="preserve"> </w:t>
            </w:r>
            <w:r w:rsidRPr="00D254EF">
              <w:rPr>
                <w:rFonts w:ascii="Times New Roman" w:hAnsi="Times New Roman"/>
                <w:sz w:val="20"/>
                <w:szCs w:val="20"/>
              </w:rPr>
              <w:t>UE</w:t>
            </w:r>
          </w:p>
          <w:p w14:paraId="334B2ED0" w14:textId="77777777" w:rsidR="00F65AB2" w:rsidRPr="00D254EF" w:rsidRDefault="00F65AB2" w:rsidP="00513C49">
            <w:pPr>
              <w:pStyle w:val="ListParagraph"/>
              <w:numPr>
                <w:ilvl w:val="1"/>
                <w:numId w:val="10"/>
              </w:numPr>
              <w:ind w:firstLineChars="0"/>
              <w:rPr>
                <w:rFonts w:ascii="Times New Roman" w:hAnsi="Times New Roman"/>
                <w:sz w:val="20"/>
                <w:szCs w:val="20"/>
              </w:rPr>
            </w:pPr>
            <w:r w:rsidRPr="00D254EF">
              <w:rPr>
                <w:rFonts w:ascii="Times New Roman" w:hAnsi="Times New Roman"/>
                <w:sz w:val="20"/>
                <w:szCs w:val="20"/>
              </w:rPr>
              <w:t xml:space="preserve">Study the possibility of applying PC1.5 with 2Tx MPR/A-MPR requirements to PC1.5 with 1Tx, </w:t>
            </w:r>
            <w:r w:rsidRPr="00F857AB">
              <w:rPr>
                <w:rFonts w:ascii="Times New Roman" w:hAnsi="Times New Roman"/>
                <w:sz w:val="20"/>
                <w:szCs w:val="20"/>
              </w:rPr>
              <w:t>if feasible,</w:t>
            </w:r>
            <w:r w:rsidRPr="00D254EF">
              <w:rPr>
                <w:rFonts w:ascii="Times New Roman" w:hAnsi="Times New Roman"/>
                <w:sz w:val="20"/>
                <w:szCs w:val="20"/>
              </w:rPr>
              <w:t xml:space="preserve"> specify the corresponding UE RF requirements, including maximum output power (MOP), MPR/A-MPR requirements, etc.</w:t>
            </w:r>
          </w:p>
          <w:p w14:paraId="664F9E41" w14:textId="77777777" w:rsidR="00F65AB2" w:rsidRPr="00D254EF" w:rsidRDefault="00F65AB2" w:rsidP="00513C49">
            <w:pPr>
              <w:pStyle w:val="ListParagraph"/>
              <w:numPr>
                <w:ilvl w:val="2"/>
                <w:numId w:val="10"/>
              </w:numPr>
              <w:ind w:firstLineChars="0"/>
              <w:rPr>
                <w:rFonts w:ascii="Times New Roman" w:hAnsi="Times New Roman"/>
                <w:sz w:val="20"/>
                <w:szCs w:val="20"/>
              </w:rPr>
            </w:pPr>
            <w:r w:rsidRPr="00D254EF">
              <w:rPr>
                <w:rFonts w:ascii="Times New Roman" w:hAnsi="Times New Roman"/>
                <w:sz w:val="20"/>
                <w:szCs w:val="20"/>
              </w:rPr>
              <w:t>Baseline PA configuration: 1 x 29 dBm</w:t>
            </w:r>
          </w:p>
          <w:p w14:paraId="17770266" w14:textId="77777777" w:rsidR="00F65AB2" w:rsidRPr="00D254EF" w:rsidRDefault="00F65AB2" w:rsidP="00513C49">
            <w:pPr>
              <w:pStyle w:val="ListParagraph"/>
              <w:numPr>
                <w:ilvl w:val="2"/>
                <w:numId w:val="10"/>
              </w:numPr>
              <w:ind w:firstLine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4BA3D447" w14:textId="77777777" w:rsidR="00F65AB2" w:rsidRPr="00F65AB2" w:rsidRDefault="00F65AB2" w:rsidP="00513C49">
            <w:pPr>
              <w:pStyle w:val="ListParagraph"/>
              <w:numPr>
                <w:ilvl w:val="1"/>
                <w:numId w:val="10"/>
              </w:numPr>
              <w:ind w:firstLineChars="0"/>
              <w:rPr>
                <w:rFonts w:ascii="Times New Roman" w:hAnsi="Times New Roman"/>
                <w:sz w:val="20"/>
                <w:szCs w:val="20"/>
              </w:rPr>
            </w:pPr>
            <w:r w:rsidRPr="00F65AB2">
              <w:rPr>
                <w:rFonts w:ascii="Times New Roman" w:hAnsi="Times New Roman"/>
                <w:sz w:val="20"/>
                <w:szCs w:val="20"/>
                <w:highlight w:val="cyan"/>
              </w:rPr>
              <w:t>This work is to start in 2026 Q4</w:t>
            </w:r>
          </w:p>
          <w:p w14:paraId="67137DBC" w14:textId="77777777" w:rsidR="00F65AB2" w:rsidRPr="00D254EF" w:rsidRDefault="00F65AB2" w:rsidP="00F65AB2">
            <w:pPr>
              <w:jc w:val="both"/>
              <w:rPr>
                <w:lang w:val="en-US"/>
              </w:rPr>
            </w:pPr>
          </w:p>
          <w:p w14:paraId="71CB7C3F" w14:textId="77777777" w:rsidR="00F65AB2" w:rsidRPr="00E82761" w:rsidRDefault="00F65AB2" w:rsidP="00513C49">
            <w:pPr>
              <w:pStyle w:val="ListParagraph"/>
              <w:numPr>
                <w:ilvl w:val="0"/>
                <w:numId w:val="10"/>
              </w:numPr>
              <w:ind w:firstLineChars="0"/>
              <w:rPr>
                <w:rFonts w:ascii="Times New Roman" w:hAnsi="Times New Roman"/>
                <w:sz w:val="20"/>
                <w:szCs w:val="20"/>
              </w:rPr>
            </w:pPr>
            <w:r w:rsidRPr="00E82761">
              <w:rPr>
                <w:rFonts w:ascii="Times New Roman" w:hAnsi="Times New Roman"/>
                <w:sz w:val="20"/>
                <w:szCs w:val="20"/>
              </w:rPr>
              <w:t>2Tx for TDD bands for FWA UE</w:t>
            </w:r>
          </w:p>
          <w:p w14:paraId="266A6CC2" w14:textId="77777777" w:rsidR="00F65AB2" w:rsidRPr="00E82761" w:rsidRDefault="00F65AB2" w:rsidP="00513C49">
            <w:pPr>
              <w:pStyle w:val="ListParagraph"/>
              <w:numPr>
                <w:ilvl w:val="1"/>
                <w:numId w:val="10"/>
              </w:numPr>
              <w:ind w:firstLineChars="0"/>
              <w:rPr>
                <w:rFonts w:ascii="Times New Roman" w:hAnsi="Times New Roman"/>
                <w:sz w:val="20"/>
                <w:szCs w:val="20"/>
              </w:rPr>
            </w:pPr>
            <w:r w:rsidRPr="00E82761">
              <w:rPr>
                <w:rFonts w:ascii="Times New Roman" w:hAnsi="Times New Roman"/>
                <w:sz w:val="20"/>
                <w:szCs w:val="20"/>
              </w:rPr>
              <w:t xml:space="preserve">Study the possibility of applying PC1 with 4Tx A-MPR/MPR requirements to PC1 with 2Tx, </w:t>
            </w:r>
            <w:r w:rsidRPr="00F857AB">
              <w:rPr>
                <w:rFonts w:ascii="Times New Roman" w:hAnsi="Times New Roman"/>
                <w:sz w:val="20"/>
                <w:szCs w:val="20"/>
              </w:rPr>
              <w:t>if feasible</w:t>
            </w:r>
            <w:r w:rsidRPr="00E82761">
              <w:rPr>
                <w:rFonts w:ascii="Times New Roman" w:hAnsi="Times New Roman"/>
                <w:sz w:val="20"/>
                <w:szCs w:val="20"/>
              </w:rPr>
              <w:t>, specify the corresponding UE RF requirements, including maximum output power (MOP), MPR/A-MPR requirements, etc.</w:t>
            </w:r>
          </w:p>
          <w:p w14:paraId="5BDB094B" w14:textId="77777777" w:rsidR="00F65AB2" w:rsidRPr="00E82761" w:rsidRDefault="00F65AB2" w:rsidP="00513C49">
            <w:pPr>
              <w:pStyle w:val="ListParagraph"/>
              <w:numPr>
                <w:ilvl w:val="2"/>
                <w:numId w:val="10"/>
              </w:numPr>
              <w:ind w:firstLineChars="0"/>
              <w:rPr>
                <w:rFonts w:ascii="Times New Roman" w:hAnsi="Times New Roman"/>
                <w:sz w:val="20"/>
                <w:szCs w:val="20"/>
              </w:rPr>
            </w:pPr>
            <w:r w:rsidRPr="00E82761">
              <w:rPr>
                <w:rFonts w:ascii="Times New Roman" w:hAnsi="Times New Roman"/>
                <w:sz w:val="20"/>
                <w:szCs w:val="20"/>
              </w:rPr>
              <w:t>Baseline PA configuration: 2 x 29 dBm</w:t>
            </w:r>
          </w:p>
          <w:p w14:paraId="7D0072A3" w14:textId="77777777" w:rsidR="00F65AB2" w:rsidRPr="00E82761" w:rsidRDefault="00F65AB2" w:rsidP="00513C49">
            <w:pPr>
              <w:pStyle w:val="ListParagraph"/>
              <w:numPr>
                <w:ilvl w:val="2"/>
                <w:numId w:val="10"/>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53AC2BD" w14:textId="77777777" w:rsidR="00F65AB2" w:rsidRPr="00E82761" w:rsidRDefault="00F65AB2" w:rsidP="00513C49">
            <w:pPr>
              <w:pStyle w:val="ListParagraph"/>
              <w:numPr>
                <w:ilvl w:val="1"/>
                <w:numId w:val="10"/>
              </w:numPr>
              <w:ind w:firstLineChars="0"/>
              <w:rPr>
                <w:rFonts w:ascii="Times New Roman" w:hAnsi="Times New Roman"/>
                <w:sz w:val="20"/>
                <w:szCs w:val="20"/>
              </w:rPr>
            </w:pPr>
            <w:r w:rsidRPr="00E82761">
              <w:rPr>
                <w:rFonts w:ascii="Times New Roman" w:eastAsia="DengXian" w:hAnsi="Times New Roman"/>
                <w:sz w:val="20"/>
                <w:szCs w:val="20"/>
              </w:rPr>
              <w:t>Maximum output power is up to 32 dBm</w:t>
            </w:r>
          </w:p>
          <w:p w14:paraId="0A4D9951" w14:textId="77777777" w:rsidR="00F65AB2" w:rsidRPr="00E82761" w:rsidRDefault="00F65AB2" w:rsidP="00513C49">
            <w:pPr>
              <w:pStyle w:val="ListParagraph"/>
              <w:numPr>
                <w:ilvl w:val="2"/>
                <w:numId w:val="10"/>
              </w:numPr>
              <w:ind w:firstLineChars="0"/>
              <w:rPr>
                <w:rFonts w:ascii="Times New Roman" w:hAnsi="Times New Roman"/>
                <w:sz w:val="20"/>
                <w:szCs w:val="20"/>
              </w:rPr>
            </w:pPr>
            <w:r w:rsidRPr="00E82761">
              <w:rPr>
                <w:rFonts w:ascii="Times New Roman" w:eastAsia="DengXian" w:hAnsi="Times New Roman"/>
                <w:sz w:val="20"/>
                <w:szCs w:val="20"/>
              </w:rPr>
              <w:t>RAN4 to determine whether to reuse PC1 or introduce new power class</w:t>
            </w:r>
          </w:p>
          <w:p w14:paraId="56768D0F" w14:textId="31480D81" w:rsidR="00F65AB2" w:rsidRPr="00F65AB2" w:rsidRDefault="00F65AB2" w:rsidP="00513C49">
            <w:pPr>
              <w:pStyle w:val="ListParagraph"/>
              <w:numPr>
                <w:ilvl w:val="1"/>
                <w:numId w:val="10"/>
              </w:numPr>
              <w:spacing w:afterLines="100" w:after="240"/>
              <w:ind w:firstLineChars="0"/>
              <w:rPr>
                <w:rFonts w:ascii="Times New Roman" w:hAnsi="Times New Roman"/>
                <w:sz w:val="20"/>
                <w:szCs w:val="20"/>
              </w:rPr>
            </w:pPr>
            <w:r w:rsidRPr="00F65AB2">
              <w:rPr>
                <w:rFonts w:ascii="Times New Roman" w:hAnsi="Times New Roman"/>
                <w:sz w:val="20"/>
                <w:szCs w:val="20"/>
                <w:highlight w:val="cyan"/>
              </w:rPr>
              <w:t>This work is to start in 2026 Q4</w:t>
            </w:r>
          </w:p>
        </w:tc>
      </w:tr>
    </w:tbl>
    <w:p w14:paraId="4ED2B7B4" w14:textId="36B8D532" w:rsidR="009A089A" w:rsidRPr="00F65AB2" w:rsidRDefault="009A089A" w:rsidP="006272FF">
      <w:pPr>
        <w:jc w:val="both"/>
      </w:pPr>
    </w:p>
    <w:p w14:paraId="04DE60E4" w14:textId="77777777" w:rsidR="00062E8E" w:rsidRDefault="00062E8E" w:rsidP="006272FF">
      <w:pPr>
        <w:pStyle w:val="Heading1"/>
        <w:spacing w:after="240"/>
        <w:jc w:val="both"/>
        <w:rPr>
          <w:rFonts w:eastAsia="SimSun"/>
          <w:lang w:eastAsia="zh-CN"/>
        </w:rPr>
      </w:pPr>
      <w:r>
        <w:rPr>
          <w:rFonts w:eastAsia="SimSun" w:hint="eastAsia"/>
          <w:lang w:eastAsia="zh-CN"/>
        </w:rPr>
        <w:lastRenderedPageBreak/>
        <w:t>Discussion</w:t>
      </w:r>
    </w:p>
    <w:p w14:paraId="6237BEE7" w14:textId="14407A25" w:rsidR="005369EE" w:rsidRDefault="00F65AB2" w:rsidP="007626FC">
      <w:pPr>
        <w:pStyle w:val="Heading2"/>
        <w:spacing w:after="240"/>
        <w:rPr>
          <w:lang w:val="en-US"/>
        </w:rPr>
      </w:pPr>
      <w:r>
        <w:t>4x26dBm for CPE/FWA UEs on TDD bands</w:t>
      </w:r>
    </w:p>
    <w:p w14:paraId="0FA386FA" w14:textId="7B1A3171" w:rsidR="005369EE" w:rsidRDefault="00940812" w:rsidP="00072762">
      <w:pPr>
        <w:jc w:val="both"/>
        <w:rPr>
          <w:lang w:val="en-US" w:eastAsia="en-US"/>
        </w:rPr>
      </w:pPr>
      <w:r>
        <w:rPr>
          <w:lang w:val="en-US" w:eastAsia="en-US"/>
        </w:rPr>
        <w:t xml:space="preserve">By the end of R19, PC1 has been specified for many RF bands, including: n7, n14, n25, n31, n40, n41, n66, n71, n77, n78, n85, n100 and n101, which is targeted for </w:t>
      </w:r>
      <w:r w:rsidR="002B214F">
        <w:rPr>
          <w:lang w:val="en-US" w:eastAsia="en-US"/>
        </w:rPr>
        <w:t>Fixed Wireless/Vehicle Mounted (FWVM) usage.</w:t>
      </w:r>
      <w:r>
        <w:rPr>
          <w:lang w:val="en-US" w:eastAsia="en-US"/>
        </w:rPr>
        <w:t xml:space="preserve"> </w:t>
      </w:r>
      <w:r w:rsidR="002B214F">
        <w:rPr>
          <w:lang w:val="en-US" w:eastAsia="en-US"/>
        </w:rPr>
        <w:t>The power consumption as well as physical size of the PA and filters can be much larger than those for handheld devices.</w:t>
      </w:r>
    </w:p>
    <w:p w14:paraId="6E5E5538" w14:textId="73A4C4FA" w:rsidR="00F65AB2" w:rsidRDefault="002B214F" w:rsidP="00072762">
      <w:pPr>
        <w:jc w:val="both"/>
        <w:rPr>
          <w:lang w:val="en-US" w:eastAsia="en-US"/>
        </w:rPr>
      </w:pPr>
      <w:r>
        <w:rPr>
          <w:lang w:val="en-US" w:eastAsia="en-US"/>
        </w:rPr>
        <w:t xml:space="preserve">The ALCR for PC1 inherited from LTE and set to 37dB. </w:t>
      </w:r>
      <w:r w:rsidR="00F812D0">
        <w:rPr>
          <w:lang w:val="en-US" w:eastAsia="en-US"/>
        </w:rPr>
        <w:t>The MPR/A-MPR requirements are derived accordingly.</w:t>
      </w:r>
    </w:p>
    <w:p w14:paraId="132591A0" w14:textId="78B56E10" w:rsidR="00F812D0" w:rsidRDefault="004444DB" w:rsidP="00072762">
      <w:pPr>
        <w:jc w:val="both"/>
        <w:rPr>
          <w:lang w:val="en-US" w:eastAsia="en-US"/>
        </w:rPr>
      </w:pPr>
      <w:r w:rsidRPr="004444DB">
        <w:rPr>
          <w:lang w:val="en-US" w:eastAsia="en-US"/>
        </w:rPr>
        <w:t xml:space="preserve">To address the growing adoption of Fixed Wireless Access (FWA) in certain markets and to maximize the use of the existing RF component ecosystem, a 4x26dBm </w:t>
      </w:r>
      <w:r>
        <w:rPr>
          <w:lang w:val="en-US" w:eastAsia="en-US"/>
        </w:rPr>
        <w:t>PA</w:t>
      </w:r>
      <w:r w:rsidRPr="004444DB">
        <w:rPr>
          <w:lang w:val="en-US" w:eastAsia="en-US"/>
        </w:rPr>
        <w:t xml:space="preserve"> architecture will be standardized in Rel-20</w:t>
      </w:r>
      <w:r>
        <w:rPr>
          <w:lang w:val="en-US" w:eastAsia="en-US"/>
        </w:rPr>
        <w:t xml:space="preserve"> [1]</w:t>
      </w:r>
      <w:r w:rsidRPr="004444DB">
        <w:rPr>
          <w:lang w:val="en-US" w:eastAsia="en-US"/>
        </w:rPr>
        <w:t xml:space="preserve">. This architecture is designed with a target Maximum Output Power (MOP) of up to 32dBm. Furthermore, a study </w:t>
      </w:r>
      <w:r>
        <w:rPr>
          <w:lang w:val="en-US" w:eastAsia="en-US"/>
        </w:rPr>
        <w:t>phase</w:t>
      </w:r>
      <w:r w:rsidRPr="004444DB">
        <w:rPr>
          <w:lang w:val="en-US" w:eastAsia="en-US"/>
        </w:rPr>
        <w:t xml:space="preserve"> on a 2x29dBm power class will be initiated in Q4 2026, with standardization to follow if feasibility is confirmed.</w:t>
      </w:r>
    </w:p>
    <w:p w14:paraId="0B90F94A" w14:textId="6AEF2E36" w:rsidR="00254FA8" w:rsidRDefault="00254FA8" w:rsidP="00072762">
      <w:pPr>
        <w:jc w:val="both"/>
        <w:rPr>
          <w:lang w:val="en-US" w:eastAsia="en-US"/>
        </w:rPr>
      </w:pPr>
      <w:r>
        <w:rPr>
          <w:lang w:val="en-US" w:eastAsia="en-US"/>
        </w:rPr>
        <w:t xml:space="preserve">Furthermore, the ACLR requirement for 32dBm MOP will be evaluated via coexistence simulations, which could be different from 37dB for PC1. Compound with RIMD between multiple Tx, the MPR/A-MPR will be affected. </w:t>
      </w:r>
    </w:p>
    <w:p w14:paraId="74CCD0D0" w14:textId="1C7EAFA5" w:rsidR="00254FA8" w:rsidRPr="00A56CFF" w:rsidRDefault="00A56CFF" w:rsidP="00A56CFF">
      <w:pPr>
        <w:jc w:val="both"/>
        <w:rPr>
          <w:b/>
          <w:i/>
          <w:lang w:val="en-US" w:eastAsia="en-US"/>
        </w:rPr>
      </w:pPr>
      <w:bookmarkStart w:id="2" w:name="_Ref210327404"/>
      <w:r>
        <w:rPr>
          <w:b/>
          <w:i/>
          <w:lang w:val="en-US" w:eastAsia="en-US"/>
        </w:rPr>
        <w:t xml:space="preserve">Observation 1: </w:t>
      </w:r>
      <w:r w:rsidR="00254FA8" w:rsidRPr="00C911BF">
        <w:rPr>
          <w:b/>
          <w:i/>
          <w:lang w:val="en-US" w:eastAsia="en-US"/>
        </w:rPr>
        <w:t>For 4x26dBm</w:t>
      </w:r>
      <w:r w:rsidR="004444DB" w:rsidRPr="00C911BF">
        <w:rPr>
          <w:b/>
          <w:i/>
          <w:lang w:val="en-US" w:eastAsia="en-US"/>
        </w:rPr>
        <w:t xml:space="preserve"> with up to 32dBm MOP</w:t>
      </w:r>
      <w:r w:rsidR="00254FA8" w:rsidRPr="00C911BF">
        <w:rPr>
          <w:b/>
          <w:i/>
          <w:lang w:val="en-US" w:eastAsia="en-US"/>
        </w:rPr>
        <w:t>, new general requirements for MOP, ACLR and MPR will be needed.</w:t>
      </w:r>
      <w:bookmarkEnd w:id="2"/>
    </w:p>
    <w:p w14:paraId="210E2D30" w14:textId="2420C25D" w:rsidR="00254FA8" w:rsidRDefault="00254FA8" w:rsidP="00072762">
      <w:pPr>
        <w:jc w:val="both"/>
        <w:rPr>
          <w:lang w:val="en-US" w:eastAsia="en-US"/>
        </w:rPr>
      </w:pPr>
      <w:r>
        <w:rPr>
          <w:lang w:val="en-US" w:eastAsia="en-US"/>
        </w:rPr>
        <w:t>As an option, it was proposed to</w:t>
      </w:r>
      <w:r w:rsidR="0035069A">
        <w:rPr>
          <w:lang w:val="en-US" w:eastAsia="en-US"/>
        </w:rPr>
        <w:t xml:space="preserve"> reuse the existing definition of PC1, but with 1dB relaxation for the upper bound tolerance. However, the current PC1 requirements are derived for 1Tx, which cannot be reused for 4Tx or 2Tx. </w:t>
      </w:r>
      <w:r w:rsidR="00E52F12">
        <w:rPr>
          <w:lang w:val="en-US" w:eastAsia="en-US"/>
        </w:rPr>
        <w:t>In addition, PC1 requirements for some bands have been in TS38.101-1 and PC1 has a specific UE capability. Normally, changing the requirements with a specific UE capability may lead to NBC, since network cannot distinguish the UE with old definition and the new definit</w:t>
      </w:r>
      <w:r w:rsidR="0025056E">
        <w:rPr>
          <w:lang w:val="en-US" w:eastAsia="en-US"/>
        </w:rPr>
        <w:t>i</w:t>
      </w:r>
      <w:r w:rsidR="00E52F12">
        <w:rPr>
          <w:lang w:val="en-US" w:eastAsia="en-US"/>
        </w:rPr>
        <w:t>on. For more specific example, i</w:t>
      </w:r>
      <w:r w:rsidR="0035069A">
        <w:rPr>
          <w:lang w:val="en-US" w:eastAsia="en-US"/>
        </w:rPr>
        <w:t xml:space="preserve">n certain regions of the world, the power tolerance might be built into local regulations. Hence, </w:t>
      </w:r>
      <w:r w:rsidR="00E52F12">
        <w:rPr>
          <w:lang w:val="en-US" w:eastAsia="en-US"/>
        </w:rPr>
        <w:t>UEs with new definition may violate the local regulations</w:t>
      </w:r>
      <w:r w:rsidR="0035069A">
        <w:rPr>
          <w:lang w:val="en-US" w:eastAsia="en-US"/>
        </w:rPr>
        <w:t>.</w:t>
      </w:r>
    </w:p>
    <w:p w14:paraId="39F34463" w14:textId="140FDB44" w:rsidR="0035069A" w:rsidRPr="00A56CFF" w:rsidRDefault="00A56CFF" w:rsidP="00A56CFF">
      <w:pPr>
        <w:jc w:val="both"/>
        <w:rPr>
          <w:b/>
          <w:i/>
          <w:lang w:val="en-US" w:eastAsia="en-US"/>
        </w:rPr>
      </w:pPr>
      <w:r>
        <w:rPr>
          <w:b/>
          <w:i/>
          <w:lang w:val="en-US" w:eastAsia="en-US"/>
        </w:rPr>
        <w:t>Proposal 1:</w:t>
      </w:r>
      <w:r w:rsidR="0035069A" w:rsidRPr="00A56CFF">
        <w:rPr>
          <w:b/>
          <w:i/>
          <w:lang w:val="en-US" w:eastAsia="en-US"/>
        </w:rPr>
        <w:t xml:space="preserve"> </w:t>
      </w:r>
      <w:bookmarkStart w:id="3" w:name="_Ref210327432"/>
      <w:r w:rsidR="0035069A" w:rsidRPr="00A56CFF">
        <w:rPr>
          <w:b/>
          <w:i/>
          <w:lang w:val="en-US" w:eastAsia="en-US"/>
        </w:rPr>
        <w:t>RAN4 to check if it’s feasible to reuse the existing PC1 power class definition with 1dB relaxation of the upper bound tolerance.</w:t>
      </w:r>
      <w:r w:rsidR="006F7DFC" w:rsidRPr="00A56CFF">
        <w:rPr>
          <w:b/>
          <w:i/>
          <w:lang w:val="en-US" w:eastAsia="en-US"/>
        </w:rPr>
        <w:t xml:space="preserve"> Any NBC issue should be avoided.</w:t>
      </w:r>
      <w:bookmarkEnd w:id="3"/>
    </w:p>
    <w:p w14:paraId="6DBF8E75" w14:textId="679B1321" w:rsidR="0035069A" w:rsidRPr="00A56CFF" w:rsidRDefault="00A56CFF" w:rsidP="00A56CFF">
      <w:pPr>
        <w:jc w:val="both"/>
        <w:rPr>
          <w:b/>
          <w:i/>
          <w:lang w:val="en-US" w:eastAsia="en-US"/>
        </w:rPr>
      </w:pPr>
      <w:r>
        <w:rPr>
          <w:b/>
          <w:i/>
          <w:lang w:val="en-US" w:eastAsia="en-US"/>
        </w:rPr>
        <w:t>Proposal 2:</w:t>
      </w:r>
      <w:bookmarkStart w:id="4" w:name="_Ref210327449"/>
      <w:r>
        <w:rPr>
          <w:b/>
          <w:i/>
          <w:lang w:val="en-US" w:eastAsia="en-US"/>
        </w:rPr>
        <w:t xml:space="preserve"> </w:t>
      </w:r>
      <w:r w:rsidR="0035069A" w:rsidRPr="00A56CFF">
        <w:rPr>
          <w:b/>
          <w:i/>
          <w:lang w:val="en-US" w:eastAsia="en-US"/>
        </w:rPr>
        <w:t>To define a new power class for 32dBm MOP should also be considered</w:t>
      </w:r>
      <w:r w:rsidR="006F7DFC" w:rsidRPr="00A56CFF">
        <w:rPr>
          <w:b/>
          <w:i/>
          <w:lang w:val="en-US" w:eastAsia="en-US"/>
        </w:rPr>
        <w:t xml:space="preserve">, </w:t>
      </w:r>
      <w:r w:rsidR="006F7DFC" w:rsidRPr="00F65AB2">
        <w:rPr>
          <w:b/>
          <w:i/>
          <w:lang w:val="en-US" w:eastAsia="en-US"/>
        </w:rPr>
        <w:t xml:space="preserve">since </w:t>
      </w:r>
      <w:r w:rsidR="006B2BB7">
        <w:rPr>
          <w:b/>
          <w:i/>
          <w:lang w:val="en-US" w:eastAsia="en-US"/>
        </w:rPr>
        <w:t>the underlying PA assumption as well as the</w:t>
      </w:r>
      <w:r w:rsidR="006F7DFC" w:rsidRPr="00F65AB2">
        <w:rPr>
          <w:b/>
          <w:i/>
          <w:lang w:val="en-US" w:eastAsia="en-US"/>
        </w:rPr>
        <w:t xml:space="preserve"> requirements of MOP, ACLR and MPR will be different from the existing requirements for PC1 (31dBm).</w:t>
      </w:r>
      <w:bookmarkEnd w:id="4"/>
    </w:p>
    <w:p w14:paraId="4EDE81C9" w14:textId="39173BD7" w:rsidR="006B2BB7" w:rsidRDefault="00A11383" w:rsidP="00072762">
      <w:pPr>
        <w:jc w:val="both"/>
        <w:rPr>
          <w:lang w:eastAsia="en-US"/>
        </w:rPr>
      </w:pPr>
      <w:r w:rsidRPr="00A11383">
        <w:rPr>
          <w:lang w:val="en-US" w:eastAsia="en-US"/>
        </w:rPr>
        <w:t>The following example bands are included in the WID:</w:t>
      </w:r>
      <w:r>
        <w:rPr>
          <w:lang w:val="en-US" w:eastAsia="en-US"/>
        </w:rPr>
        <w:t xml:space="preserve"> </w:t>
      </w:r>
      <w:r w:rsidRPr="00E82761">
        <w:t>n41, n77/n78, n79</w:t>
      </w:r>
      <w:r>
        <w:t xml:space="preserve"> and</w:t>
      </w:r>
      <w:r w:rsidRPr="00E82761">
        <w:t xml:space="preserve"> n104</w:t>
      </w:r>
      <w:r>
        <w:rPr>
          <w:lang w:eastAsia="en-US"/>
        </w:rPr>
        <w:t xml:space="preserve">. Only band n41 needs to consider new A-MPR requirements (for NS_04 and </w:t>
      </w:r>
      <w:r w:rsidR="0025056E">
        <w:rPr>
          <w:lang w:eastAsia="en-US"/>
        </w:rPr>
        <w:t>possibly for</w:t>
      </w:r>
      <w:r>
        <w:rPr>
          <w:lang w:eastAsia="en-US"/>
        </w:rPr>
        <w:t xml:space="preserve"> NS_47).</w:t>
      </w:r>
    </w:p>
    <w:p w14:paraId="519E22EB" w14:textId="12AE3321" w:rsidR="00A11383" w:rsidRPr="00A56CFF" w:rsidRDefault="00A56CFF" w:rsidP="00A56CFF">
      <w:pPr>
        <w:jc w:val="both"/>
        <w:rPr>
          <w:b/>
          <w:i/>
          <w:lang w:val="en-US" w:eastAsia="en-US"/>
        </w:rPr>
      </w:pPr>
      <w:r>
        <w:rPr>
          <w:b/>
          <w:i/>
          <w:lang w:val="en-US" w:eastAsia="en-US"/>
        </w:rPr>
        <w:t>Proposal 3:</w:t>
      </w:r>
      <w:r w:rsidR="00A11383" w:rsidRPr="00A56CFF">
        <w:rPr>
          <w:b/>
          <w:i/>
          <w:lang w:val="en-US" w:eastAsia="en-US"/>
        </w:rPr>
        <w:t xml:space="preserve"> </w:t>
      </w:r>
      <w:bookmarkStart w:id="5" w:name="_Ref210327481"/>
      <w:r w:rsidR="00A11383" w:rsidRPr="00A56CFF">
        <w:rPr>
          <w:b/>
          <w:i/>
          <w:lang w:val="en-US" w:eastAsia="en-US"/>
        </w:rPr>
        <w:t xml:space="preserve">Pending on </w:t>
      </w:r>
      <w:r w:rsidR="0025056E">
        <w:rPr>
          <w:b/>
          <w:i/>
          <w:lang w:val="en-US" w:eastAsia="en-US"/>
        </w:rPr>
        <w:t xml:space="preserve">the </w:t>
      </w:r>
      <w:r w:rsidR="00A11383" w:rsidRPr="00A56CFF">
        <w:rPr>
          <w:b/>
          <w:i/>
          <w:lang w:val="en-US" w:eastAsia="en-US"/>
        </w:rPr>
        <w:t>conclusion of the ACLR requirement, simulations and/or measurements are needed to evaluate the MPR and A-MPR requirements. Only n41 needs to consider A-MPR requirement.</w:t>
      </w:r>
      <w:bookmarkEnd w:id="5"/>
    </w:p>
    <w:p w14:paraId="563201F3" w14:textId="3B19FB8D" w:rsidR="00F65AB2" w:rsidRDefault="00220599" w:rsidP="00072762">
      <w:pPr>
        <w:jc w:val="both"/>
        <w:rPr>
          <w:lang w:val="en-US" w:eastAsia="en-US"/>
        </w:rPr>
      </w:pPr>
      <w:r w:rsidRPr="00220599">
        <w:rPr>
          <w:lang w:val="en-US" w:eastAsia="en-US"/>
        </w:rPr>
        <w:t xml:space="preserve">In Rel-18, </w:t>
      </w:r>
      <w:r>
        <w:rPr>
          <w:lang w:val="en-US" w:eastAsia="en-US"/>
        </w:rPr>
        <w:t>the support of PC1.5 with 4Tx was specified.</w:t>
      </w:r>
      <w:r w:rsidR="00BF596D">
        <w:rPr>
          <w:lang w:val="en-US" w:eastAsia="en-US"/>
        </w:rPr>
        <w:t xml:space="preserve"> The conclusions on </w:t>
      </w:r>
      <w:proofErr w:type="spellStart"/>
      <w:r w:rsidR="00BF596D">
        <w:rPr>
          <w:lang w:val="en-US" w:eastAsia="en-US"/>
        </w:rPr>
        <w:t>ULFPTx</w:t>
      </w:r>
      <w:proofErr w:type="spellEnd"/>
      <w:r w:rsidR="00BF596D">
        <w:rPr>
          <w:lang w:val="en-US" w:eastAsia="en-US"/>
        </w:rPr>
        <w:t xml:space="preserve"> modes, UL-MIMO coherence and </w:t>
      </w:r>
      <w:r w:rsidR="00C026E6">
        <w:rPr>
          <w:lang w:val="en-US" w:eastAsia="en-US"/>
        </w:rPr>
        <w:t>etc.</w:t>
      </w:r>
      <w:r w:rsidR="00BF596D">
        <w:rPr>
          <w:lang w:val="en-US" w:eastAsia="en-US"/>
        </w:rPr>
        <w:t xml:space="preserve"> are still valid or relevant to the current discussions. For example [2],</w:t>
      </w:r>
    </w:p>
    <w:tbl>
      <w:tblPr>
        <w:tblStyle w:val="TableGrid"/>
        <w:tblW w:w="0" w:type="auto"/>
        <w:tblLook w:val="04A0" w:firstRow="1" w:lastRow="0" w:firstColumn="1" w:lastColumn="0" w:noHBand="0" w:noVBand="1"/>
      </w:tblPr>
      <w:tblGrid>
        <w:gridCol w:w="9631"/>
      </w:tblGrid>
      <w:tr w:rsidR="008A752D" w:rsidRPr="008A752D" w14:paraId="4B90903D" w14:textId="77777777" w:rsidTr="008A752D">
        <w:trPr>
          <w:trHeight w:val="2427"/>
        </w:trPr>
        <w:tc>
          <w:tcPr>
            <w:tcW w:w="9631" w:type="dxa"/>
          </w:tcPr>
          <w:p w14:paraId="03FA648E" w14:textId="31AAB712" w:rsidR="008A752D" w:rsidRPr="008A752D" w:rsidRDefault="008A752D" w:rsidP="005E6655">
            <w:pPr>
              <w:spacing w:after="0"/>
              <w:jc w:val="both"/>
              <w:rPr>
                <w:b/>
                <w:u w:val="single"/>
                <w:lang w:eastAsia="ko-KR"/>
              </w:rPr>
            </w:pPr>
            <w:r w:rsidRPr="008A752D">
              <w:rPr>
                <w:b/>
                <w:u w:val="single"/>
                <w:lang w:eastAsia="ko-KR"/>
              </w:rPr>
              <w:t>Issue 1-2-1: Whether 4Tx UE need to keep power class capability when configured with different antenna ports, i.e.</w:t>
            </w:r>
            <w:r w:rsidR="004444DB">
              <w:rPr>
                <w:b/>
                <w:u w:val="single"/>
                <w:lang w:eastAsia="ko-KR"/>
              </w:rPr>
              <w:t xml:space="preserve">, </w:t>
            </w:r>
            <w:r w:rsidRPr="008A752D">
              <w:rPr>
                <w:b/>
                <w:u w:val="single"/>
                <w:lang w:eastAsia="ko-KR"/>
              </w:rPr>
              <w:t xml:space="preserve">4/2/1 </w:t>
            </w:r>
          </w:p>
          <w:p w14:paraId="37F060BF" w14:textId="77777777" w:rsidR="008A752D" w:rsidRPr="008A752D" w:rsidRDefault="008A752D" w:rsidP="00513C49">
            <w:pPr>
              <w:pStyle w:val="ListParagraph"/>
              <w:widowControl/>
              <w:numPr>
                <w:ilvl w:val="0"/>
                <w:numId w:val="11"/>
              </w:numPr>
              <w:snapToGrid w:val="0"/>
              <w:ind w:left="720" w:firstLineChars="0" w:hanging="357"/>
              <w:rPr>
                <w:rFonts w:ascii="Times New Roman" w:hAnsi="Times New Roman"/>
                <w:szCs w:val="24"/>
                <w:lang w:eastAsia="zh-CN"/>
              </w:rPr>
            </w:pPr>
            <w:r w:rsidRPr="008A752D">
              <w:rPr>
                <w:rFonts w:ascii="Times New Roman" w:hAnsi="Times New Roman"/>
                <w:szCs w:val="24"/>
                <w:lang w:eastAsia="zh-CN"/>
              </w:rPr>
              <w:t>WF</w:t>
            </w:r>
          </w:p>
          <w:p w14:paraId="1BBC4BF7" w14:textId="77777777" w:rsidR="008A752D" w:rsidRPr="008A752D" w:rsidRDefault="008A752D" w:rsidP="00513C49">
            <w:pPr>
              <w:pStyle w:val="ListParagraph"/>
              <w:widowControl/>
              <w:numPr>
                <w:ilvl w:val="1"/>
                <w:numId w:val="11"/>
              </w:numPr>
              <w:snapToGrid w:val="0"/>
              <w:ind w:leftChars="371" w:left="1099" w:firstLineChars="0" w:hanging="357"/>
              <w:rPr>
                <w:rFonts w:ascii="Times New Roman" w:hAnsi="Times New Roman"/>
                <w:szCs w:val="24"/>
                <w:lang w:eastAsia="zh-CN"/>
              </w:rPr>
            </w:pPr>
            <w:r w:rsidRPr="008A752D">
              <w:rPr>
                <w:rFonts w:ascii="Times New Roman" w:hAnsi="Times New Roman"/>
                <w:szCs w:val="24"/>
                <w:lang w:eastAsia="zh-CN"/>
              </w:rPr>
              <w:t>Confirm the following understanding:</w:t>
            </w:r>
          </w:p>
          <w:p w14:paraId="21BB0EA3" w14:textId="77777777" w:rsidR="008A752D" w:rsidRPr="008A752D" w:rsidRDefault="008A752D" w:rsidP="00513C49">
            <w:pPr>
              <w:pStyle w:val="ListParagraph"/>
              <w:widowControl/>
              <w:numPr>
                <w:ilvl w:val="2"/>
                <w:numId w:val="11"/>
              </w:numPr>
              <w:snapToGrid w:val="0"/>
              <w:ind w:leftChars="839" w:left="2035" w:firstLineChars="0" w:hanging="357"/>
              <w:rPr>
                <w:rFonts w:ascii="Times New Roman" w:hAnsi="Times New Roman"/>
                <w:szCs w:val="24"/>
                <w:lang w:eastAsia="zh-CN"/>
              </w:rPr>
            </w:pPr>
            <w:r w:rsidRPr="008A752D">
              <w:rPr>
                <w:rFonts w:ascii="Times New Roman" w:hAnsi="Times New Roman"/>
                <w:szCs w:val="24"/>
                <w:lang w:eastAsia="zh-CN"/>
              </w:rPr>
              <w:t>The power class of a UE is a static value depending on reporting and not subject to change for different configurations</w:t>
            </w:r>
          </w:p>
          <w:p w14:paraId="202D36C5" w14:textId="77777777" w:rsidR="008A752D" w:rsidRPr="008A752D" w:rsidRDefault="008A752D" w:rsidP="00513C49">
            <w:pPr>
              <w:pStyle w:val="ListParagraph"/>
              <w:widowControl/>
              <w:numPr>
                <w:ilvl w:val="2"/>
                <w:numId w:val="11"/>
              </w:numPr>
              <w:snapToGrid w:val="0"/>
              <w:ind w:leftChars="839" w:left="2035" w:firstLineChars="0" w:hanging="357"/>
              <w:rPr>
                <w:rFonts w:ascii="Times New Roman" w:hAnsi="Times New Roman"/>
                <w:szCs w:val="24"/>
                <w:lang w:eastAsia="zh-CN"/>
              </w:rPr>
            </w:pPr>
            <w:r w:rsidRPr="008A752D">
              <w:rPr>
                <w:rFonts w:ascii="Times New Roman" w:hAnsi="Times New Roman"/>
                <w:szCs w:val="24"/>
                <w:lang w:eastAsia="zh-CN"/>
              </w:rPr>
              <w:t>The maximum output power achievable and applicable requirements are related to configuration and implementation</w:t>
            </w:r>
          </w:p>
          <w:p w14:paraId="019AD5D9" w14:textId="77777777" w:rsidR="008A752D" w:rsidRPr="008A752D" w:rsidRDefault="008A752D" w:rsidP="00513C49">
            <w:pPr>
              <w:pStyle w:val="ListParagraph"/>
              <w:widowControl/>
              <w:numPr>
                <w:ilvl w:val="3"/>
                <w:numId w:val="12"/>
              </w:numPr>
              <w:snapToGrid w:val="0"/>
              <w:ind w:leftChars="1198" w:left="2756" w:firstLineChars="0"/>
              <w:rPr>
                <w:rFonts w:ascii="Times New Roman" w:hAnsi="Times New Roman"/>
                <w:szCs w:val="24"/>
                <w:lang w:eastAsia="zh-CN"/>
              </w:rPr>
            </w:pPr>
            <w:r w:rsidRPr="008A752D">
              <w:rPr>
                <w:rFonts w:ascii="Times New Roman" w:hAnsi="Times New Roman"/>
                <w:szCs w:val="24"/>
                <w:lang w:eastAsia="zh-CN"/>
              </w:rPr>
              <w:t>How to accommodate the maximum achievable output power aspect into spec is FFS</w:t>
            </w:r>
          </w:p>
          <w:p w14:paraId="2C0A94BD" w14:textId="776A79FF" w:rsidR="008A752D" w:rsidRPr="008A752D" w:rsidRDefault="008A752D" w:rsidP="005E6655">
            <w:pPr>
              <w:spacing w:beforeLines="50" w:before="120" w:after="0"/>
              <w:jc w:val="both"/>
              <w:rPr>
                <w:b/>
                <w:u w:val="single"/>
                <w:lang w:eastAsia="ko-KR"/>
              </w:rPr>
            </w:pPr>
            <w:r w:rsidRPr="008A752D">
              <w:rPr>
                <w:b/>
                <w:u w:val="single"/>
                <w:lang w:eastAsia="ko-KR"/>
              </w:rPr>
              <w:t xml:space="preserve">Issue 1-2-3: Other </w:t>
            </w:r>
            <w:proofErr w:type="gramStart"/>
            <w:r w:rsidRPr="008A752D">
              <w:rPr>
                <w:b/>
                <w:u w:val="single"/>
                <w:lang w:eastAsia="ko-KR"/>
              </w:rPr>
              <w:t>Fall back</w:t>
            </w:r>
            <w:proofErr w:type="gramEnd"/>
            <w:r w:rsidRPr="008A752D">
              <w:rPr>
                <w:b/>
                <w:u w:val="single"/>
                <w:lang w:eastAsia="ko-KR"/>
              </w:rPr>
              <w:t xml:space="preserve"> related issues</w:t>
            </w:r>
          </w:p>
          <w:p w14:paraId="2CF8E543" w14:textId="1DA3B39E" w:rsidR="008A752D" w:rsidRPr="008A752D" w:rsidRDefault="008A752D" w:rsidP="00513C49">
            <w:pPr>
              <w:pStyle w:val="ListParagraph"/>
              <w:widowControl/>
              <w:numPr>
                <w:ilvl w:val="0"/>
                <w:numId w:val="11"/>
              </w:numPr>
              <w:spacing w:after="120"/>
              <w:ind w:left="720" w:firstLineChars="0"/>
              <w:rPr>
                <w:rFonts w:ascii="Times New Roman" w:hAnsi="Times New Roman"/>
                <w:szCs w:val="24"/>
                <w:lang w:eastAsia="zh-CN"/>
              </w:rPr>
            </w:pPr>
            <w:r w:rsidRPr="008A752D">
              <w:rPr>
                <w:rFonts w:ascii="Times New Roman" w:hAnsi="Times New Roman"/>
                <w:szCs w:val="24"/>
                <w:lang w:eastAsia="zh-CN"/>
              </w:rPr>
              <w:t>WF</w:t>
            </w:r>
          </w:p>
          <w:p w14:paraId="55557C5B" w14:textId="7E073181" w:rsidR="008A752D" w:rsidRPr="008A752D" w:rsidRDefault="008A752D" w:rsidP="00513C49">
            <w:pPr>
              <w:pStyle w:val="ListParagraph"/>
              <w:widowControl/>
              <w:numPr>
                <w:ilvl w:val="1"/>
                <w:numId w:val="11"/>
              </w:numPr>
              <w:snapToGrid w:val="0"/>
              <w:ind w:leftChars="371" w:left="1099" w:firstLineChars="0" w:hanging="357"/>
              <w:rPr>
                <w:rFonts w:ascii="Times New Roman" w:hAnsi="Times New Roman"/>
                <w:color w:val="0070C0"/>
                <w:szCs w:val="24"/>
                <w:lang w:eastAsia="zh-CN"/>
              </w:rPr>
            </w:pPr>
            <w:r w:rsidRPr="008A752D">
              <w:rPr>
                <w:rFonts w:ascii="Times New Roman" w:hAnsi="Times New Roman"/>
                <w:szCs w:val="24"/>
                <w:lang w:eastAsia="zh-CN"/>
              </w:rPr>
              <w:t xml:space="preserve">In non-MIMO operation, when UE power class fallback to PC2/PC3 due to exceeding </w:t>
            </w:r>
            <w:proofErr w:type="spellStart"/>
            <w:r w:rsidRPr="008A752D">
              <w:rPr>
                <w:rFonts w:ascii="Times New Roman" w:hAnsi="Times New Roman"/>
                <w:szCs w:val="24"/>
                <w:lang w:eastAsia="zh-CN"/>
              </w:rPr>
              <w:t>dutycycle</w:t>
            </w:r>
            <w:proofErr w:type="spellEnd"/>
            <w:r w:rsidRPr="008A752D">
              <w:rPr>
                <w:rFonts w:ascii="Times New Roman" w:hAnsi="Times New Roman"/>
                <w:szCs w:val="24"/>
                <w:lang w:eastAsia="zh-CN"/>
              </w:rPr>
              <w:t xml:space="preserve"> capability or the output power is lower than the reported power class due to scheduling, whether to maintain 4Tx transmission is up to UE implementation.</w:t>
            </w:r>
          </w:p>
        </w:tc>
      </w:tr>
    </w:tbl>
    <w:p w14:paraId="00C579F8" w14:textId="527B6250" w:rsidR="001222DF" w:rsidRPr="00A56CFF" w:rsidRDefault="00A56CFF" w:rsidP="008A752D">
      <w:pPr>
        <w:spacing w:beforeLines="100" w:before="240"/>
        <w:jc w:val="both"/>
        <w:rPr>
          <w:b/>
          <w:i/>
          <w:lang w:val="en-US" w:eastAsia="en-US"/>
        </w:rPr>
      </w:pPr>
      <w:r>
        <w:rPr>
          <w:b/>
          <w:i/>
          <w:lang w:val="en-US" w:eastAsia="en-US"/>
        </w:rPr>
        <w:lastRenderedPageBreak/>
        <w:t>Proposal 4:</w:t>
      </w:r>
      <w:r w:rsidR="001222DF" w:rsidRPr="00A56CFF">
        <w:rPr>
          <w:b/>
          <w:i/>
          <w:lang w:val="en-US" w:eastAsia="en-US"/>
        </w:rPr>
        <w:t xml:space="preserve"> </w:t>
      </w:r>
      <w:bookmarkStart w:id="6" w:name="_Ref210327498"/>
      <w:r w:rsidR="001222DF" w:rsidRPr="00A56CFF">
        <w:rPr>
          <w:b/>
          <w:i/>
          <w:lang w:val="en-US" w:eastAsia="en-US"/>
        </w:rPr>
        <w:t xml:space="preserve">The Rel-18 4Tx framework is used as the basis for the 4x26dBm PA configuration targeting a 32dBm MOP, including </w:t>
      </w:r>
      <w:proofErr w:type="spellStart"/>
      <w:r w:rsidR="001222DF" w:rsidRPr="00A56CFF">
        <w:rPr>
          <w:b/>
          <w:i/>
          <w:lang w:val="en-US" w:eastAsia="en-US"/>
        </w:rPr>
        <w:t>ULFPTx</w:t>
      </w:r>
      <w:proofErr w:type="spellEnd"/>
      <w:r w:rsidR="001222DF" w:rsidRPr="00A56CFF">
        <w:rPr>
          <w:b/>
          <w:i/>
          <w:lang w:val="en-US" w:eastAsia="en-US"/>
        </w:rPr>
        <w:t xml:space="preserve"> modes, UL-MIMO coherence and power fallback implementation.</w:t>
      </w:r>
      <w:bookmarkEnd w:id="6"/>
    </w:p>
    <w:p w14:paraId="02AFAABE" w14:textId="14142B4F" w:rsidR="001222DF" w:rsidRPr="00A56CFF" w:rsidRDefault="00A56CFF" w:rsidP="008A752D">
      <w:pPr>
        <w:jc w:val="both"/>
        <w:rPr>
          <w:b/>
          <w:i/>
          <w:lang w:val="en-US" w:eastAsia="en-US"/>
        </w:rPr>
      </w:pPr>
      <w:r>
        <w:rPr>
          <w:b/>
          <w:i/>
          <w:lang w:val="en-US" w:eastAsia="en-US"/>
        </w:rPr>
        <w:t>Proposal 5:</w:t>
      </w:r>
      <w:r w:rsidR="001222DF" w:rsidRPr="00A56CFF">
        <w:rPr>
          <w:b/>
          <w:i/>
          <w:lang w:val="en-US" w:eastAsia="en-US"/>
        </w:rPr>
        <w:t xml:space="preserve"> </w:t>
      </w:r>
      <w:bookmarkStart w:id="7" w:name="_Ref210327513"/>
      <w:r w:rsidR="001222DF" w:rsidRPr="00A56CFF">
        <w:rPr>
          <w:b/>
          <w:i/>
          <w:lang w:val="en-US" w:eastAsia="en-US"/>
        </w:rPr>
        <w:t>Follow Rel-18 agreement that supporting 4Tx is release independent from Rel-18.</w:t>
      </w:r>
      <w:bookmarkEnd w:id="7"/>
    </w:p>
    <w:p w14:paraId="7CFB4B0E" w14:textId="73537FF6" w:rsidR="00243425" w:rsidRPr="00243425" w:rsidRDefault="00243425" w:rsidP="008A752D">
      <w:pPr>
        <w:jc w:val="both"/>
        <w:rPr>
          <w:lang w:val="en-US" w:eastAsia="en-US"/>
        </w:rPr>
      </w:pPr>
      <w:r w:rsidRPr="00243425">
        <w:rPr>
          <w:lang w:val="en-US" w:eastAsia="en-US"/>
        </w:rPr>
        <w:t>It’s noted that supporting 4Tx in Rel-18 WID includes both TDD and FDD bands, and the specified generic requirements are band-agnostic.</w:t>
      </w:r>
      <w:r>
        <w:rPr>
          <w:lang w:val="en-US" w:eastAsia="en-US"/>
        </w:rPr>
        <w:t xml:space="preserve"> And several operators have expressed the interest in supporting 4x26dBm for FDD bands.</w:t>
      </w:r>
    </w:p>
    <w:p w14:paraId="4BE02470" w14:textId="2DBC8393" w:rsidR="001222DF" w:rsidRPr="00A56CFF" w:rsidRDefault="00A56CFF" w:rsidP="008A752D">
      <w:pPr>
        <w:jc w:val="both"/>
        <w:rPr>
          <w:b/>
          <w:i/>
          <w:lang w:val="en-US" w:eastAsia="en-US"/>
        </w:rPr>
      </w:pPr>
      <w:r>
        <w:rPr>
          <w:b/>
          <w:i/>
          <w:lang w:val="en-US" w:eastAsia="en-US"/>
        </w:rPr>
        <w:t>Proposal 6:</w:t>
      </w:r>
      <w:r w:rsidR="00243425" w:rsidRPr="00A56CFF">
        <w:rPr>
          <w:b/>
          <w:i/>
          <w:lang w:val="en-US" w:eastAsia="en-US"/>
        </w:rPr>
        <w:t xml:space="preserve"> </w:t>
      </w:r>
      <w:bookmarkStart w:id="8" w:name="_Ref210327529"/>
      <w:r w:rsidR="00243425" w:rsidRPr="009B45C3">
        <w:rPr>
          <w:b/>
          <w:i/>
          <w:lang w:val="en-US" w:eastAsia="en-US"/>
        </w:rPr>
        <w:t xml:space="preserve">The </w:t>
      </w:r>
      <w:r w:rsidR="00243425">
        <w:rPr>
          <w:b/>
          <w:i/>
          <w:lang w:val="en-US" w:eastAsia="en-US"/>
        </w:rPr>
        <w:t>general requirements</w:t>
      </w:r>
      <w:r w:rsidR="00243425" w:rsidRPr="009B45C3">
        <w:rPr>
          <w:b/>
          <w:i/>
          <w:lang w:val="en-US" w:eastAsia="en-US"/>
        </w:rPr>
        <w:t xml:space="preserve"> for </w:t>
      </w:r>
      <w:r w:rsidR="00243425">
        <w:rPr>
          <w:b/>
          <w:i/>
          <w:lang w:val="en-US" w:eastAsia="en-US"/>
        </w:rPr>
        <w:t>4x26dBm</w:t>
      </w:r>
      <w:r w:rsidR="00243425" w:rsidRPr="009B45C3">
        <w:rPr>
          <w:b/>
          <w:i/>
          <w:lang w:val="en-US" w:eastAsia="en-US"/>
        </w:rPr>
        <w:t xml:space="preserve"> shall be band-agnostic, applicable </w:t>
      </w:r>
      <w:r w:rsidR="00243425">
        <w:rPr>
          <w:b/>
          <w:i/>
          <w:lang w:val="en-US" w:eastAsia="en-US"/>
        </w:rPr>
        <w:t>for</w:t>
      </w:r>
      <w:r w:rsidR="00243425" w:rsidRPr="009B45C3">
        <w:rPr>
          <w:b/>
          <w:i/>
          <w:lang w:val="en-US" w:eastAsia="en-US"/>
        </w:rPr>
        <w:t xml:space="preserve"> both TDD and FDD bands, unless otherwise specified in band-specific requirements</w:t>
      </w:r>
      <w:r w:rsidR="00243425">
        <w:rPr>
          <w:b/>
          <w:i/>
          <w:lang w:val="en-US" w:eastAsia="en-US"/>
        </w:rPr>
        <w:t>.</w:t>
      </w:r>
      <w:bookmarkEnd w:id="8"/>
    </w:p>
    <w:p w14:paraId="5A8172B2" w14:textId="01F02F4F" w:rsidR="00F65AB2" w:rsidRDefault="00F65AB2" w:rsidP="008A752D">
      <w:pPr>
        <w:pStyle w:val="Heading2"/>
        <w:spacing w:after="240"/>
        <w:jc w:val="both"/>
        <w:rPr>
          <w:lang w:val="en-US"/>
        </w:rPr>
      </w:pPr>
      <w:r>
        <w:t>2Tx PC1.5 for both handheld and FWA UEs on FDD bands</w:t>
      </w:r>
    </w:p>
    <w:p w14:paraId="0742FE7C" w14:textId="339DD5EB" w:rsidR="00F65AB2" w:rsidRDefault="00CD50A3" w:rsidP="008A752D">
      <w:pPr>
        <w:jc w:val="both"/>
        <w:rPr>
          <w:lang w:val="en-US" w:eastAsia="en-US"/>
        </w:rPr>
      </w:pPr>
      <w:r>
        <w:rPr>
          <w:lang w:val="en-US" w:eastAsia="en-US"/>
        </w:rPr>
        <w:t xml:space="preserve">Although specified in the standards, 1Tx PC2 on FDD bands remains challenging for implementation, especially for handheld UEs. The availability of suitable PAs and </w:t>
      </w:r>
      <w:r w:rsidR="00C6151D">
        <w:rPr>
          <w:lang w:val="en-US" w:eastAsia="en-US"/>
        </w:rPr>
        <w:t>duplexers is the limiting factor for its wide adoption. On TDD bands, UE can benefit from certain duty-cycle for Tx, which is not guaranteed on FDD bands. Thermal management is also a big challenge for 2Tx PC1.5 with two 26dBm PAs.</w:t>
      </w:r>
    </w:p>
    <w:p w14:paraId="7CC4210E" w14:textId="5477854E" w:rsidR="00C6151D" w:rsidRPr="00A56CFF" w:rsidRDefault="00A56CFF" w:rsidP="008A752D">
      <w:pPr>
        <w:jc w:val="both"/>
        <w:rPr>
          <w:bCs/>
          <w:i/>
          <w:lang w:val="en-US" w:eastAsia="en-US"/>
        </w:rPr>
      </w:pPr>
      <w:bookmarkStart w:id="9" w:name="_Ref210327544"/>
      <w:r>
        <w:rPr>
          <w:b/>
          <w:i/>
          <w:lang w:val="en-US" w:eastAsia="en-US"/>
        </w:rPr>
        <w:t xml:space="preserve">Observation 2: </w:t>
      </w:r>
      <w:r w:rsidR="00C6151D" w:rsidRPr="00765547">
        <w:rPr>
          <w:b/>
          <w:i/>
          <w:lang w:val="en-US" w:eastAsia="en-US"/>
        </w:rPr>
        <w:t>Compared to TDD bands, achieving 2Tx PC1.5 in FDD bands—where each transmitter reaches 26 dBm—poses significant challenges in terms of UE thermal management and duplexer power handling capability.</w:t>
      </w:r>
      <w:bookmarkEnd w:id="9"/>
    </w:p>
    <w:p w14:paraId="2588D223" w14:textId="3801634C" w:rsidR="00C6151D" w:rsidRPr="00A56CFF" w:rsidRDefault="00A56CFF" w:rsidP="008A752D">
      <w:pPr>
        <w:jc w:val="both"/>
        <w:rPr>
          <w:b/>
          <w:i/>
          <w:lang w:val="en-US" w:eastAsia="en-US"/>
        </w:rPr>
      </w:pPr>
      <w:bookmarkStart w:id="10" w:name="_Ref210327560"/>
      <w:r>
        <w:rPr>
          <w:b/>
          <w:i/>
          <w:lang w:val="en-US" w:eastAsia="en-US"/>
        </w:rPr>
        <w:t xml:space="preserve">Proposal 7: </w:t>
      </w:r>
      <w:r w:rsidR="00C6151D" w:rsidRPr="00A56CFF">
        <w:rPr>
          <w:b/>
          <w:i/>
          <w:lang w:val="en-US" w:eastAsia="en-US"/>
        </w:rPr>
        <w:t>RAN4 to confirm if it’s feasible to reuse existing TDD 2Tx PC1.5 MPR requirements for FDD bands.</w:t>
      </w:r>
      <w:bookmarkEnd w:id="10"/>
    </w:p>
    <w:p w14:paraId="414D0F8A" w14:textId="5A956BA9" w:rsidR="00C30AE2" w:rsidRDefault="00C30AE2" w:rsidP="008A752D">
      <w:pPr>
        <w:jc w:val="both"/>
        <w:rPr>
          <w:lang w:val="en-US" w:eastAsia="en-US"/>
        </w:rPr>
      </w:pPr>
      <w:r>
        <w:rPr>
          <w:lang w:val="en-US" w:eastAsia="en-US"/>
        </w:rPr>
        <w:t>The rest of work include A-MPR and RSD requirements for the example bands (i.e., n1 and n25).</w:t>
      </w:r>
    </w:p>
    <w:p w14:paraId="315020C4" w14:textId="236A1702" w:rsidR="00C30AE2" w:rsidRPr="00A56CFF" w:rsidRDefault="00A56CFF" w:rsidP="008A752D">
      <w:pPr>
        <w:jc w:val="both"/>
        <w:rPr>
          <w:b/>
          <w:i/>
          <w:lang w:val="en-US" w:eastAsia="en-US"/>
        </w:rPr>
      </w:pPr>
      <w:r>
        <w:rPr>
          <w:b/>
          <w:i/>
          <w:lang w:val="en-US" w:eastAsia="en-US"/>
        </w:rPr>
        <w:t>Proposal 8:</w:t>
      </w:r>
      <w:r w:rsidR="00C30AE2" w:rsidRPr="00A56CFF">
        <w:rPr>
          <w:b/>
          <w:i/>
          <w:lang w:val="en-US" w:eastAsia="en-US"/>
        </w:rPr>
        <w:t xml:space="preserve"> </w:t>
      </w:r>
      <w:bookmarkStart w:id="11" w:name="_Ref210327573"/>
      <w:r w:rsidR="00C30AE2" w:rsidRPr="00F65AB2">
        <w:rPr>
          <w:b/>
          <w:i/>
          <w:lang w:val="en-US" w:eastAsia="en-US"/>
        </w:rPr>
        <w:t xml:space="preserve">Once MPR requirements are concluded, continue to study A-MPR for </w:t>
      </w:r>
      <w:r w:rsidR="00C30AE2">
        <w:rPr>
          <w:b/>
          <w:i/>
          <w:lang w:val="en-US" w:eastAsia="en-US"/>
        </w:rPr>
        <w:t>the example bands (</w:t>
      </w:r>
      <w:r w:rsidR="00C30AE2" w:rsidRPr="00F65AB2">
        <w:rPr>
          <w:b/>
          <w:i/>
          <w:lang w:val="en-US" w:eastAsia="en-US"/>
        </w:rPr>
        <w:t>n1 and n25</w:t>
      </w:r>
      <w:r w:rsidR="00C30AE2">
        <w:rPr>
          <w:b/>
          <w:i/>
          <w:lang w:val="en-US" w:eastAsia="en-US"/>
        </w:rPr>
        <w:t>)</w:t>
      </w:r>
      <w:r w:rsidR="00C30AE2" w:rsidRPr="00F65AB2">
        <w:rPr>
          <w:b/>
          <w:i/>
          <w:lang w:val="en-US" w:eastAsia="en-US"/>
        </w:rPr>
        <w:t>.</w:t>
      </w:r>
      <w:bookmarkEnd w:id="11"/>
    </w:p>
    <w:p w14:paraId="32E5553C" w14:textId="7702AB39" w:rsidR="00C30AE2" w:rsidRPr="00A56CFF" w:rsidRDefault="00A56CFF" w:rsidP="008A752D">
      <w:pPr>
        <w:jc w:val="both"/>
        <w:rPr>
          <w:b/>
          <w:i/>
          <w:lang w:val="en-US" w:eastAsia="en-US"/>
        </w:rPr>
      </w:pPr>
      <w:r>
        <w:rPr>
          <w:b/>
          <w:i/>
          <w:lang w:val="en-US" w:eastAsia="en-US"/>
        </w:rPr>
        <w:t>Proposal 9:</w:t>
      </w:r>
      <w:r w:rsidR="00C30AE2" w:rsidRPr="00A56CFF">
        <w:rPr>
          <w:b/>
          <w:i/>
          <w:lang w:val="en-US" w:eastAsia="en-US"/>
        </w:rPr>
        <w:t xml:space="preserve"> </w:t>
      </w:r>
      <w:bookmarkStart w:id="12" w:name="_Ref210327589"/>
      <w:r w:rsidR="00C30AE2" w:rsidRPr="00F65AB2">
        <w:rPr>
          <w:b/>
          <w:i/>
          <w:lang w:val="en-US" w:eastAsia="en-US"/>
        </w:rPr>
        <w:t>RSD for the example bands</w:t>
      </w:r>
      <w:r w:rsidR="00C30AE2">
        <w:rPr>
          <w:b/>
          <w:i/>
          <w:lang w:val="en-US" w:eastAsia="en-US"/>
        </w:rPr>
        <w:t xml:space="preserve"> (n1 and n25)</w:t>
      </w:r>
      <w:r w:rsidR="00C30AE2" w:rsidRPr="00F65AB2">
        <w:rPr>
          <w:b/>
          <w:i/>
          <w:lang w:val="en-US" w:eastAsia="en-US"/>
        </w:rPr>
        <w:t xml:space="preserve"> can be evaluated in parallel to the Tx requirements.</w:t>
      </w:r>
      <w:bookmarkEnd w:id="12"/>
    </w:p>
    <w:p w14:paraId="449C3041" w14:textId="06E80712" w:rsidR="00C30AE2" w:rsidRPr="00A56CFF" w:rsidRDefault="00A56CFF" w:rsidP="008A752D">
      <w:pPr>
        <w:jc w:val="both"/>
        <w:rPr>
          <w:b/>
          <w:i/>
          <w:lang w:val="en-US" w:eastAsia="en-US"/>
        </w:rPr>
      </w:pPr>
      <w:bookmarkStart w:id="13" w:name="_Ref210327602"/>
      <w:r>
        <w:rPr>
          <w:b/>
          <w:i/>
          <w:lang w:val="en-US" w:eastAsia="en-US"/>
        </w:rPr>
        <w:t xml:space="preserve">Proposal 10: </w:t>
      </w:r>
      <w:r w:rsidR="00C30AE2">
        <w:rPr>
          <w:b/>
          <w:i/>
          <w:lang w:val="en-US" w:eastAsia="en-US"/>
        </w:rPr>
        <w:t>Check whether release independence for FDD 2Tx PC1.5 could be the same as that for TDD bands.</w:t>
      </w:r>
      <w:bookmarkEnd w:id="13"/>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24EE8278" w14:textId="507FB564" w:rsidR="00FC30F5" w:rsidRDefault="00F65AB2" w:rsidP="006272FF">
      <w:pPr>
        <w:jc w:val="both"/>
        <w:rPr>
          <w:color w:val="000000" w:themeColor="text1"/>
          <w:lang w:val="en-US"/>
        </w:rPr>
      </w:pPr>
      <w:r>
        <w:rPr>
          <w:color w:val="000000" w:themeColor="text1"/>
          <w:lang w:val="en-US"/>
        </w:rPr>
        <w:t>In this paper, we have shared</w:t>
      </w:r>
      <w:r w:rsidR="00703CD0">
        <w:rPr>
          <w:color w:val="000000" w:themeColor="text1"/>
          <w:lang w:val="en-US"/>
        </w:rPr>
        <w:t xml:space="preserve"> our initial analysis on the HPUE requirements for 4x26dBm and 2Tx PC1.5</w:t>
      </w:r>
      <w:r>
        <w:rPr>
          <w:color w:val="000000" w:themeColor="text1"/>
          <w:lang w:val="en-US"/>
        </w:rPr>
        <w:t>. The following observations and proposals are made:</w:t>
      </w:r>
    </w:p>
    <w:p w14:paraId="4E5E97C4" w14:textId="686B8F8E" w:rsidR="00072762" w:rsidRPr="00072762" w:rsidRDefault="00072762" w:rsidP="006272FF">
      <w:pPr>
        <w:jc w:val="both"/>
        <w:rPr>
          <w:b/>
          <w:bCs/>
          <w:i/>
          <w:iCs/>
          <w:u w:val="single"/>
        </w:rPr>
      </w:pPr>
      <w:r w:rsidRPr="00072762">
        <w:rPr>
          <w:rFonts w:hint="eastAsia"/>
          <w:b/>
          <w:bCs/>
          <w:i/>
          <w:iCs/>
          <w:color w:val="000000" w:themeColor="text1"/>
          <w:highlight w:val="lightGray"/>
          <w:u w:val="single"/>
          <w:lang w:val="en-US"/>
        </w:rPr>
        <w:t>4</w:t>
      </w:r>
      <w:r w:rsidRPr="00072762">
        <w:rPr>
          <w:b/>
          <w:bCs/>
          <w:i/>
          <w:iCs/>
          <w:color w:val="000000" w:themeColor="text1"/>
          <w:highlight w:val="lightGray"/>
          <w:u w:val="single"/>
          <w:lang w:val="en-US"/>
        </w:rPr>
        <w:t>Tx FWA with 32dBm MOP</w:t>
      </w:r>
    </w:p>
    <w:p w14:paraId="19BA4331" w14:textId="16168A65" w:rsidR="005369EE" w:rsidRPr="000A5C28" w:rsidRDefault="00C6667A" w:rsidP="006272FF">
      <w:pPr>
        <w:jc w:val="both"/>
        <w:rPr>
          <w:b/>
          <w:i/>
          <w:lang w:val="en-US" w:eastAsia="en-US"/>
        </w:rPr>
      </w:pPr>
      <w:r w:rsidRPr="00072762">
        <w:rPr>
          <w:b/>
          <w:i/>
          <w:lang w:val="en-US" w:eastAsia="en-US"/>
        </w:rPr>
        <w:fldChar w:fldCharType="begin"/>
      </w:r>
      <w:r w:rsidRPr="00072762">
        <w:rPr>
          <w:b/>
          <w:i/>
          <w:lang w:val="en-US" w:eastAsia="en-US"/>
        </w:rPr>
        <w:instrText xml:space="preserve"> REF _Ref210327404 \r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Observation 1:</w:t>
      </w:r>
      <w:r w:rsidRPr="00072762">
        <w:rPr>
          <w:b/>
          <w:i/>
          <w:lang w:val="en-US" w:eastAsia="en-US"/>
        </w:rPr>
        <w:fldChar w:fldCharType="end"/>
      </w:r>
      <w:r w:rsidRPr="00072762">
        <w:rPr>
          <w:b/>
          <w:i/>
          <w:lang w:val="en-US" w:eastAsia="en-US"/>
        </w:rPr>
        <w:t xml:space="preserve"> </w:t>
      </w:r>
      <w:r w:rsidRPr="000A5C28">
        <w:rPr>
          <w:b/>
          <w:i/>
          <w:lang w:val="en-US" w:eastAsia="en-US"/>
        </w:rPr>
        <w:fldChar w:fldCharType="begin"/>
      </w:r>
      <w:r w:rsidRPr="000A5C28">
        <w:rPr>
          <w:b/>
          <w:i/>
          <w:lang w:val="en-US" w:eastAsia="en-US"/>
        </w:rPr>
        <w:instrText xml:space="preserve"> REF _Ref210327404 \h </w:instrText>
      </w:r>
      <w:r w:rsidR="00072762" w:rsidRPr="000A5C28">
        <w:rPr>
          <w:b/>
          <w:i/>
          <w:lang w:val="en-US" w:eastAsia="en-US"/>
        </w:rPr>
        <w:instrText xml:space="preserve"> \* MERGEFORMAT </w:instrText>
      </w:r>
      <w:r w:rsidRPr="000A5C28">
        <w:rPr>
          <w:b/>
          <w:i/>
          <w:lang w:val="en-US" w:eastAsia="en-US"/>
        </w:rPr>
      </w:r>
      <w:r w:rsidRPr="000A5C28">
        <w:rPr>
          <w:b/>
          <w:i/>
          <w:lang w:val="en-US" w:eastAsia="en-US"/>
        </w:rPr>
        <w:fldChar w:fldCharType="separate"/>
      </w:r>
      <w:r w:rsidR="008107C3" w:rsidRPr="000A5C28">
        <w:rPr>
          <w:b/>
          <w:i/>
          <w:lang w:val="en-US" w:eastAsia="en-US"/>
        </w:rPr>
        <w:t>For 4x26dBm with up to 32dBm MOP, new general requirements for MOP, ACLR and MPR will be needed.</w:t>
      </w:r>
      <w:r w:rsidRPr="000A5C28">
        <w:rPr>
          <w:b/>
          <w:i/>
          <w:lang w:val="en-US" w:eastAsia="en-US"/>
        </w:rPr>
        <w:fldChar w:fldCharType="end"/>
      </w:r>
    </w:p>
    <w:p w14:paraId="3049A6E2" w14:textId="796AA6DA" w:rsidR="00C6667A" w:rsidRPr="00072762" w:rsidRDefault="00C6667A" w:rsidP="006272FF">
      <w:pPr>
        <w:jc w:val="both"/>
        <w:rPr>
          <w:b/>
          <w:i/>
          <w:lang w:val="en-US" w:eastAsia="en-US"/>
        </w:rPr>
      </w:pPr>
      <w:r w:rsidRPr="00072762">
        <w:rPr>
          <w:b/>
          <w:i/>
          <w:lang w:val="en-US" w:eastAsia="en-US"/>
        </w:rPr>
        <w:fldChar w:fldCharType="begin"/>
      </w:r>
      <w:r w:rsidRPr="00072762">
        <w:rPr>
          <w:b/>
          <w:i/>
          <w:lang w:val="en-US" w:eastAsia="en-US"/>
        </w:rPr>
        <w:instrText xml:space="preserve"> REF _Ref210327432 \r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Proposal 1:</w:t>
      </w:r>
      <w:r w:rsidRPr="00072762">
        <w:rPr>
          <w:b/>
          <w:i/>
          <w:lang w:val="en-US" w:eastAsia="en-US"/>
        </w:rPr>
        <w:fldChar w:fldCharType="end"/>
      </w:r>
      <w:r w:rsidRPr="00072762">
        <w:rPr>
          <w:b/>
          <w:i/>
          <w:lang w:val="en-US" w:eastAsia="en-US"/>
        </w:rPr>
        <w:t xml:space="preserve"> </w:t>
      </w:r>
      <w:r w:rsidRPr="00072762">
        <w:rPr>
          <w:b/>
          <w:i/>
          <w:lang w:val="en-US" w:eastAsia="en-US"/>
        </w:rPr>
        <w:fldChar w:fldCharType="begin"/>
      </w:r>
      <w:r w:rsidRPr="00072762">
        <w:rPr>
          <w:b/>
          <w:i/>
          <w:lang w:val="en-US" w:eastAsia="en-US"/>
        </w:rPr>
        <w:instrText xml:space="preserve"> REF _Ref210327432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008107C3" w:rsidRPr="008107C3">
        <w:rPr>
          <w:b/>
          <w:bCs/>
          <w:i/>
          <w:lang w:val="en-US" w:eastAsia="en-US"/>
        </w:rPr>
        <w:t>RAN4 to check if it’s feasible to reuse the existing PC1 power class definition with 1dB relaxation of the upper bound tolerance. Any NBC issue should be avoided.</w:t>
      </w:r>
      <w:r w:rsidRPr="00072762">
        <w:rPr>
          <w:b/>
          <w:i/>
          <w:lang w:val="en-US" w:eastAsia="en-US"/>
        </w:rPr>
        <w:fldChar w:fldCharType="end"/>
      </w:r>
    </w:p>
    <w:p w14:paraId="77A4C787" w14:textId="454E847E" w:rsidR="00C6667A" w:rsidRPr="00072762" w:rsidRDefault="00C6667A" w:rsidP="006272FF">
      <w:pPr>
        <w:jc w:val="both"/>
        <w:rPr>
          <w:b/>
          <w:i/>
          <w:lang w:val="en-US" w:eastAsia="en-US"/>
        </w:rPr>
      </w:pPr>
      <w:r w:rsidRPr="00072762">
        <w:rPr>
          <w:b/>
          <w:i/>
          <w:lang w:val="en-US" w:eastAsia="en-US"/>
        </w:rPr>
        <w:fldChar w:fldCharType="begin"/>
      </w:r>
      <w:r w:rsidRPr="00072762">
        <w:rPr>
          <w:b/>
          <w:i/>
          <w:lang w:val="en-US" w:eastAsia="en-US"/>
        </w:rPr>
        <w:instrText xml:space="preserve"> REF _Ref210327449 \r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Proposal 2:</w:t>
      </w:r>
      <w:r w:rsidRPr="00072762">
        <w:rPr>
          <w:b/>
          <w:i/>
          <w:lang w:val="en-US" w:eastAsia="en-US"/>
        </w:rPr>
        <w:fldChar w:fldCharType="end"/>
      </w:r>
      <w:r w:rsidRPr="00072762">
        <w:rPr>
          <w:b/>
          <w:i/>
          <w:lang w:val="en-US" w:eastAsia="en-US"/>
        </w:rPr>
        <w:t xml:space="preserve"> </w:t>
      </w:r>
      <w:r w:rsidRPr="00072762">
        <w:rPr>
          <w:b/>
          <w:i/>
          <w:lang w:val="en-US" w:eastAsia="en-US"/>
        </w:rPr>
        <w:fldChar w:fldCharType="begin"/>
      </w:r>
      <w:r w:rsidRPr="00072762">
        <w:rPr>
          <w:b/>
          <w:i/>
          <w:lang w:val="en-US" w:eastAsia="en-US"/>
        </w:rPr>
        <w:instrText xml:space="preserve"> REF _Ref210327449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008107C3" w:rsidRPr="008107C3">
        <w:rPr>
          <w:b/>
          <w:bCs/>
          <w:i/>
          <w:lang w:val="en-US" w:eastAsia="en-US"/>
        </w:rPr>
        <w:t xml:space="preserve"> To define a new power class for 32dBm MOP should also be considered,</w:t>
      </w:r>
      <w:r w:rsidR="008107C3" w:rsidRPr="00A56CFF">
        <w:rPr>
          <w:b/>
          <w:i/>
          <w:lang w:val="en-US" w:eastAsia="en-US"/>
        </w:rPr>
        <w:t xml:space="preserve"> </w:t>
      </w:r>
      <w:r w:rsidR="008107C3" w:rsidRPr="00F65AB2">
        <w:rPr>
          <w:b/>
          <w:i/>
          <w:lang w:val="en-US" w:eastAsia="en-US"/>
        </w:rPr>
        <w:t xml:space="preserve">since </w:t>
      </w:r>
      <w:r w:rsidR="008107C3">
        <w:rPr>
          <w:b/>
          <w:i/>
          <w:lang w:val="en-US" w:eastAsia="en-US"/>
        </w:rPr>
        <w:t>the underlying PA assumption as well as the</w:t>
      </w:r>
      <w:r w:rsidR="008107C3" w:rsidRPr="00F65AB2">
        <w:rPr>
          <w:b/>
          <w:i/>
          <w:lang w:val="en-US" w:eastAsia="en-US"/>
        </w:rPr>
        <w:t xml:space="preserve"> requirements of MOP, ACLR and MPR will be different from the existing requirements for PC1 (31dBm).</w:t>
      </w:r>
      <w:r w:rsidRPr="00072762">
        <w:rPr>
          <w:b/>
          <w:i/>
          <w:lang w:val="en-US" w:eastAsia="en-US"/>
        </w:rPr>
        <w:fldChar w:fldCharType="end"/>
      </w:r>
    </w:p>
    <w:p w14:paraId="242A6AEF" w14:textId="6109247B" w:rsidR="00C6667A" w:rsidRPr="00072762" w:rsidRDefault="00C6667A" w:rsidP="006272FF">
      <w:pPr>
        <w:jc w:val="both"/>
        <w:rPr>
          <w:b/>
          <w:i/>
          <w:lang w:val="en-US" w:eastAsia="en-US"/>
        </w:rPr>
      </w:pPr>
      <w:r w:rsidRPr="00072762">
        <w:rPr>
          <w:b/>
          <w:i/>
          <w:lang w:val="en-US" w:eastAsia="en-US"/>
        </w:rPr>
        <w:fldChar w:fldCharType="begin"/>
      </w:r>
      <w:r w:rsidRPr="00072762">
        <w:rPr>
          <w:b/>
          <w:i/>
          <w:lang w:val="en-US" w:eastAsia="en-US"/>
        </w:rPr>
        <w:instrText xml:space="preserve"> REF _Ref210327481 \r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Proposal 3:</w:t>
      </w:r>
      <w:r w:rsidRPr="00072762">
        <w:rPr>
          <w:b/>
          <w:i/>
          <w:lang w:val="en-US" w:eastAsia="en-US"/>
        </w:rPr>
        <w:fldChar w:fldCharType="end"/>
      </w:r>
      <w:r w:rsidRPr="00072762">
        <w:rPr>
          <w:b/>
          <w:i/>
          <w:lang w:val="en-US" w:eastAsia="en-US"/>
        </w:rPr>
        <w:t xml:space="preserve"> </w:t>
      </w:r>
      <w:r w:rsidRPr="00072762">
        <w:rPr>
          <w:b/>
          <w:i/>
          <w:lang w:val="en-US" w:eastAsia="en-US"/>
        </w:rPr>
        <w:fldChar w:fldCharType="begin"/>
      </w:r>
      <w:r w:rsidRPr="00072762">
        <w:rPr>
          <w:b/>
          <w:i/>
          <w:lang w:val="en-US" w:eastAsia="en-US"/>
        </w:rPr>
        <w:instrText xml:space="preserve"> REF _Ref210327481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008107C3" w:rsidRPr="00A56CFF">
        <w:rPr>
          <w:b/>
          <w:i/>
          <w:lang w:val="en-US" w:eastAsia="en-US"/>
        </w:rPr>
        <w:t xml:space="preserve">Pending on </w:t>
      </w:r>
      <w:r w:rsidR="008107C3">
        <w:rPr>
          <w:b/>
          <w:i/>
          <w:lang w:val="en-US" w:eastAsia="en-US"/>
        </w:rPr>
        <w:t xml:space="preserve">the </w:t>
      </w:r>
      <w:r w:rsidR="008107C3" w:rsidRPr="00A56CFF">
        <w:rPr>
          <w:b/>
          <w:i/>
          <w:lang w:val="en-US" w:eastAsia="en-US"/>
        </w:rPr>
        <w:t>conclusion of the ACLR requirement, simulations and/or measurements are needed to evaluate the MPR and A-MPR requirements. Only n41 needs to consider A-MPR requirement.</w:t>
      </w:r>
      <w:r w:rsidRPr="00072762">
        <w:rPr>
          <w:b/>
          <w:i/>
          <w:lang w:val="en-US" w:eastAsia="en-US"/>
        </w:rPr>
        <w:fldChar w:fldCharType="end"/>
      </w:r>
    </w:p>
    <w:p w14:paraId="4F3C5997" w14:textId="68BE9A50" w:rsidR="00C6667A" w:rsidRPr="00072762" w:rsidRDefault="00C6667A" w:rsidP="006272FF">
      <w:pPr>
        <w:jc w:val="both"/>
        <w:rPr>
          <w:b/>
          <w:i/>
          <w:lang w:val="en-US" w:eastAsia="en-US"/>
        </w:rPr>
      </w:pPr>
      <w:r w:rsidRPr="00072762">
        <w:rPr>
          <w:b/>
          <w:i/>
          <w:lang w:val="en-US" w:eastAsia="en-US"/>
        </w:rPr>
        <w:fldChar w:fldCharType="begin"/>
      </w:r>
      <w:r w:rsidRPr="00072762">
        <w:rPr>
          <w:b/>
          <w:i/>
          <w:lang w:val="en-US" w:eastAsia="en-US"/>
        </w:rPr>
        <w:instrText xml:space="preserve"> REF _Ref210327498 \r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Proposal 4:</w:t>
      </w:r>
      <w:r w:rsidRPr="00072762">
        <w:rPr>
          <w:b/>
          <w:i/>
          <w:lang w:val="en-US" w:eastAsia="en-US"/>
        </w:rPr>
        <w:fldChar w:fldCharType="end"/>
      </w:r>
      <w:r w:rsidRPr="00072762">
        <w:rPr>
          <w:b/>
          <w:i/>
          <w:lang w:val="en-US" w:eastAsia="en-US"/>
        </w:rPr>
        <w:t xml:space="preserve"> </w:t>
      </w:r>
      <w:r w:rsidRPr="00072762">
        <w:rPr>
          <w:b/>
          <w:i/>
          <w:lang w:val="en-US" w:eastAsia="en-US"/>
        </w:rPr>
        <w:fldChar w:fldCharType="begin"/>
      </w:r>
      <w:r w:rsidRPr="00072762">
        <w:rPr>
          <w:b/>
          <w:i/>
          <w:lang w:val="en-US" w:eastAsia="en-US"/>
        </w:rPr>
        <w:instrText xml:space="preserve"> REF _Ref210327498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008107C3" w:rsidRPr="00A56CFF">
        <w:rPr>
          <w:b/>
          <w:i/>
          <w:lang w:val="en-US" w:eastAsia="en-US"/>
        </w:rPr>
        <w:t xml:space="preserve">The Rel-18 4Tx framework is used as the basis for the 4x26dBm PA configuration targeting a 32dBm MOP, including </w:t>
      </w:r>
      <w:proofErr w:type="spellStart"/>
      <w:r w:rsidR="008107C3" w:rsidRPr="00A56CFF">
        <w:rPr>
          <w:b/>
          <w:i/>
          <w:lang w:val="en-US" w:eastAsia="en-US"/>
        </w:rPr>
        <w:t>ULFPTx</w:t>
      </w:r>
      <w:proofErr w:type="spellEnd"/>
      <w:r w:rsidR="008107C3" w:rsidRPr="00A56CFF">
        <w:rPr>
          <w:b/>
          <w:i/>
          <w:lang w:val="en-US" w:eastAsia="en-US"/>
        </w:rPr>
        <w:t xml:space="preserve"> modes, UL-MIMO coherence and power fallback implementation.</w:t>
      </w:r>
      <w:r w:rsidRPr="00072762">
        <w:rPr>
          <w:b/>
          <w:i/>
          <w:lang w:val="en-US" w:eastAsia="en-US"/>
        </w:rPr>
        <w:fldChar w:fldCharType="end"/>
      </w:r>
    </w:p>
    <w:p w14:paraId="30F4F979" w14:textId="4F16F18B" w:rsidR="00C6667A" w:rsidRPr="00072762" w:rsidRDefault="00C6667A" w:rsidP="006272FF">
      <w:pPr>
        <w:jc w:val="both"/>
        <w:rPr>
          <w:b/>
          <w:i/>
          <w:lang w:val="en-US" w:eastAsia="en-US"/>
        </w:rPr>
      </w:pPr>
      <w:r w:rsidRPr="00072762">
        <w:rPr>
          <w:b/>
          <w:i/>
          <w:lang w:val="en-US" w:eastAsia="en-US"/>
        </w:rPr>
        <w:fldChar w:fldCharType="begin"/>
      </w:r>
      <w:r w:rsidRPr="00072762">
        <w:rPr>
          <w:b/>
          <w:i/>
          <w:lang w:val="en-US" w:eastAsia="en-US"/>
        </w:rPr>
        <w:instrText xml:space="preserve"> REF _Ref210327513 \r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Proposal 5:</w:t>
      </w:r>
      <w:r w:rsidRPr="00072762">
        <w:rPr>
          <w:b/>
          <w:i/>
          <w:lang w:val="en-US" w:eastAsia="en-US"/>
        </w:rPr>
        <w:fldChar w:fldCharType="end"/>
      </w:r>
      <w:r w:rsidRPr="00072762">
        <w:rPr>
          <w:b/>
          <w:i/>
          <w:lang w:val="en-US" w:eastAsia="en-US"/>
        </w:rPr>
        <w:t xml:space="preserve"> </w:t>
      </w:r>
      <w:r w:rsidRPr="00072762">
        <w:rPr>
          <w:b/>
          <w:i/>
          <w:lang w:val="en-US" w:eastAsia="en-US"/>
        </w:rPr>
        <w:fldChar w:fldCharType="begin"/>
      </w:r>
      <w:r w:rsidRPr="00072762">
        <w:rPr>
          <w:b/>
          <w:i/>
          <w:lang w:val="en-US" w:eastAsia="en-US"/>
        </w:rPr>
        <w:instrText xml:space="preserve"> REF _Ref210327513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008107C3" w:rsidRPr="00A56CFF">
        <w:rPr>
          <w:b/>
          <w:i/>
          <w:lang w:val="en-US" w:eastAsia="en-US"/>
        </w:rPr>
        <w:t>Follow Rel-18 agreement that supporting 4Tx is release independent from Rel-18.</w:t>
      </w:r>
      <w:r w:rsidRPr="00072762">
        <w:rPr>
          <w:b/>
          <w:i/>
          <w:lang w:val="en-US" w:eastAsia="en-US"/>
        </w:rPr>
        <w:fldChar w:fldCharType="end"/>
      </w:r>
    </w:p>
    <w:p w14:paraId="68434D87" w14:textId="05D4B264" w:rsidR="00C6667A" w:rsidRDefault="00C6667A" w:rsidP="006272FF">
      <w:pPr>
        <w:jc w:val="both"/>
        <w:rPr>
          <w:b/>
          <w:i/>
          <w:lang w:val="en-US" w:eastAsia="en-US"/>
        </w:rPr>
      </w:pPr>
      <w:r w:rsidRPr="00072762">
        <w:rPr>
          <w:b/>
          <w:i/>
          <w:lang w:val="en-US" w:eastAsia="en-US"/>
        </w:rPr>
        <w:fldChar w:fldCharType="begin"/>
      </w:r>
      <w:r w:rsidRPr="00072762">
        <w:rPr>
          <w:b/>
          <w:i/>
          <w:lang w:val="en-US" w:eastAsia="en-US"/>
        </w:rPr>
        <w:instrText xml:space="preserve"> REF _Ref210327529 \r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Proposal 6:</w:t>
      </w:r>
      <w:r w:rsidRPr="00072762">
        <w:rPr>
          <w:b/>
          <w:i/>
          <w:lang w:val="en-US" w:eastAsia="en-US"/>
        </w:rPr>
        <w:fldChar w:fldCharType="end"/>
      </w:r>
      <w:r w:rsidRPr="00072762">
        <w:rPr>
          <w:b/>
          <w:i/>
          <w:lang w:val="en-US" w:eastAsia="en-US"/>
        </w:rPr>
        <w:t xml:space="preserve"> </w:t>
      </w:r>
      <w:r w:rsidRPr="00072762">
        <w:rPr>
          <w:b/>
          <w:i/>
          <w:lang w:val="en-US" w:eastAsia="en-US"/>
        </w:rPr>
        <w:fldChar w:fldCharType="begin"/>
      </w:r>
      <w:r w:rsidRPr="00072762">
        <w:rPr>
          <w:b/>
          <w:i/>
          <w:lang w:val="en-US" w:eastAsia="en-US"/>
        </w:rPr>
        <w:instrText xml:space="preserve"> REF _Ref210327529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008107C3" w:rsidRPr="009B45C3">
        <w:rPr>
          <w:b/>
          <w:i/>
          <w:lang w:val="en-US"/>
        </w:rPr>
        <w:t xml:space="preserve">The </w:t>
      </w:r>
      <w:r w:rsidR="008107C3">
        <w:rPr>
          <w:b/>
          <w:i/>
          <w:lang w:val="en-US"/>
        </w:rPr>
        <w:t>general requirements</w:t>
      </w:r>
      <w:r w:rsidR="008107C3" w:rsidRPr="009B45C3">
        <w:rPr>
          <w:b/>
          <w:i/>
          <w:lang w:val="en-US"/>
        </w:rPr>
        <w:t xml:space="preserve"> for </w:t>
      </w:r>
      <w:r w:rsidR="008107C3">
        <w:rPr>
          <w:b/>
          <w:i/>
          <w:lang w:val="en-US"/>
        </w:rPr>
        <w:t>4x26dBm</w:t>
      </w:r>
      <w:r w:rsidR="008107C3" w:rsidRPr="009B45C3">
        <w:rPr>
          <w:b/>
          <w:i/>
          <w:lang w:val="en-US"/>
        </w:rPr>
        <w:t xml:space="preserve"> shall be band-agnostic, applicable </w:t>
      </w:r>
      <w:r w:rsidR="008107C3">
        <w:rPr>
          <w:b/>
          <w:i/>
          <w:lang w:val="en-US"/>
        </w:rPr>
        <w:t>for</w:t>
      </w:r>
      <w:r w:rsidR="008107C3" w:rsidRPr="009B45C3">
        <w:rPr>
          <w:b/>
          <w:i/>
          <w:lang w:val="en-US"/>
        </w:rPr>
        <w:t xml:space="preserve"> both TDD and FDD bands, unless otherwise specified in band-specific requirements</w:t>
      </w:r>
      <w:r w:rsidR="008107C3">
        <w:rPr>
          <w:b/>
          <w:i/>
          <w:lang w:val="en-US"/>
        </w:rPr>
        <w:t>.</w:t>
      </w:r>
      <w:r w:rsidRPr="00072762">
        <w:rPr>
          <w:b/>
          <w:i/>
          <w:lang w:val="en-US" w:eastAsia="en-US"/>
        </w:rPr>
        <w:fldChar w:fldCharType="end"/>
      </w:r>
    </w:p>
    <w:p w14:paraId="05EC220B" w14:textId="5E4FEF73" w:rsidR="00072762" w:rsidRPr="00072762" w:rsidRDefault="00072762" w:rsidP="00072762">
      <w:pPr>
        <w:jc w:val="both"/>
        <w:rPr>
          <w:b/>
          <w:bCs/>
          <w:i/>
          <w:iCs/>
          <w:u w:val="single"/>
        </w:rPr>
      </w:pPr>
      <w:r w:rsidRPr="00072762">
        <w:rPr>
          <w:rFonts w:hint="eastAsia"/>
          <w:b/>
          <w:bCs/>
          <w:i/>
          <w:iCs/>
          <w:highlight w:val="lightGray"/>
          <w:u w:val="single"/>
        </w:rPr>
        <w:t>2</w:t>
      </w:r>
      <w:r w:rsidRPr="00072762">
        <w:rPr>
          <w:b/>
          <w:bCs/>
          <w:i/>
          <w:iCs/>
          <w:highlight w:val="lightGray"/>
          <w:u w:val="single"/>
        </w:rPr>
        <w:t xml:space="preserve">Tx </w:t>
      </w:r>
      <w:r w:rsidRPr="00072762">
        <w:rPr>
          <w:rFonts w:hint="eastAsia"/>
          <w:b/>
          <w:bCs/>
          <w:i/>
          <w:iCs/>
          <w:highlight w:val="lightGray"/>
          <w:u w:val="single"/>
        </w:rPr>
        <w:t>PC</w:t>
      </w:r>
      <w:r w:rsidRPr="00072762">
        <w:rPr>
          <w:b/>
          <w:bCs/>
          <w:i/>
          <w:iCs/>
          <w:highlight w:val="lightGray"/>
          <w:u w:val="single"/>
        </w:rPr>
        <w:t xml:space="preserve"> 1.5 for FDD</w:t>
      </w:r>
    </w:p>
    <w:p w14:paraId="54BE2A68" w14:textId="736C7D3D" w:rsidR="00C6667A" w:rsidRPr="00072762" w:rsidRDefault="00C6667A" w:rsidP="006272FF">
      <w:pPr>
        <w:jc w:val="both"/>
        <w:rPr>
          <w:b/>
          <w:i/>
          <w:lang w:val="en-US" w:eastAsia="en-US"/>
        </w:rPr>
      </w:pPr>
      <w:r w:rsidRPr="00072762">
        <w:rPr>
          <w:b/>
          <w:i/>
          <w:lang w:val="en-US" w:eastAsia="en-US"/>
        </w:rPr>
        <w:fldChar w:fldCharType="begin"/>
      </w:r>
      <w:r w:rsidRPr="00072762">
        <w:rPr>
          <w:b/>
          <w:i/>
          <w:lang w:val="en-US" w:eastAsia="en-US"/>
        </w:rPr>
        <w:instrText xml:space="preserve"> REF _Ref210327544 \r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Observation 2:</w:t>
      </w:r>
      <w:r w:rsidRPr="00072762">
        <w:rPr>
          <w:b/>
          <w:i/>
          <w:lang w:val="en-US" w:eastAsia="en-US"/>
        </w:rPr>
        <w:fldChar w:fldCharType="end"/>
      </w:r>
      <w:r w:rsidRPr="00072762">
        <w:rPr>
          <w:b/>
          <w:i/>
          <w:lang w:val="en-US" w:eastAsia="en-US"/>
        </w:rPr>
        <w:t xml:space="preserve"> </w:t>
      </w:r>
      <w:r w:rsidRPr="008107C3">
        <w:rPr>
          <w:b/>
          <w:i/>
          <w:lang w:val="en-US" w:eastAsia="en-US"/>
        </w:rPr>
        <w:fldChar w:fldCharType="begin"/>
      </w:r>
      <w:r w:rsidRPr="008107C3">
        <w:rPr>
          <w:b/>
          <w:i/>
          <w:lang w:val="en-US" w:eastAsia="en-US"/>
        </w:rPr>
        <w:instrText xml:space="preserve"> REF _Ref210327544 \h </w:instrText>
      </w:r>
      <w:r w:rsidR="00072762" w:rsidRPr="008107C3">
        <w:rPr>
          <w:b/>
          <w:i/>
          <w:lang w:val="en-US" w:eastAsia="en-US"/>
        </w:rPr>
        <w:instrText xml:space="preserve"> \* MERGEFORMAT </w:instrText>
      </w:r>
      <w:r w:rsidRPr="008107C3">
        <w:rPr>
          <w:b/>
          <w:i/>
          <w:lang w:val="en-US" w:eastAsia="en-US"/>
        </w:rPr>
      </w:r>
      <w:r w:rsidRPr="008107C3">
        <w:rPr>
          <w:b/>
          <w:i/>
          <w:lang w:val="en-US" w:eastAsia="en-US"/>
        </w:rPr>
        <w:fldChar w:fldCharType="separate"/>
      </w:r>
      <w:r w:rsidRPr="008107C3">
        <w:rPr>
          <w:b/>
          <w:i/>
          <w:lang w:val="en-US" w:eastAsia="en-US"/>
        </w:rPr>
        <w:t>Compared to TDD bands, achieving 2Tx PC1.5 in FDD bands—where each transmitter reaches 26 dBm—poses significant challenges in terms of UE thermal management and duplexer power handling capability.</w:t>
      </w:r>
      <w:r w:rsidRPr="008107C3">
        <w:rPr>
          <w:b/>
          <w:i/>
          <w:lang w:val="en-US" w:eastAsia="en-US"/>
        </w:rPr>
        <w:fldChar w:fldCharType="end"/>
      </w:r>
    </w:p>
    <w:p w14:paraId="35E23A88" w14:textId="32E46959" w:rsidR="00C6667A" w:rsidRPr="00072762" w:rsidRDefault="00C6667A" w:rsidP="006272FF">
      <w:pPr>
        <w:jc w:val="both"/>
        <w:rPr>
          <w:b/>
          <w:i/>
          <w:lang w:val="en-US" w:eastAsia="en-US"/>
        </w:rPr>
      </w:pPr>
      <w:r w:rsidRPr="00072762">
        <w:rPr>
          <w:b/>
          <w:i/>
          <w:lang w:val="en-US" w:eastAsia="en-US"/>
        </w:rPr>
        <w:lastRenderedPageBreak/>
        <w:fldChar w:fldCharType="begin"/>
      </w:r>
      <w:r w:rsidRPr="00072762">
        <w:rPr>
          <w:b/>
          <w:i/>
          <w:lang w:val="en-US" w:eastAsia="en-US"/>
        </w:rPr>
        <w:instrText xml:space="preserve"> REF _Ref210327560 \r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Proposal 7:</w:t>
      </w:r>
      <w:r w:rsidRPr="00072762">
        <w:rPr>
          <w:b/>
          <w:i/>
          <w:lang w:val="en-US" w:eastAsia="en-US"/>
        </w:rPr>
        <w:fldChar w:fldCharType="end"/>
      </w:r>
      <w:r w:rsidRPr="00072762">
        <w:rPr>
          <w:b/>
          <w:i/>
          <w:lang w:val="en-US" w:eastAsia="en-US"/>
        </w:rPr>
        <w:t xml:space="preserve"> </w:t>
      </w:r>
      <w:r w:rsidRPr="00072762">
        <w:rPr>
          <w:b/>
          <w:i/>
          <w:lang w:val="en-US" w:eastAsia="en-US"/>
        </w:rPr>
        <w:fldChar w:fldCharType="begin"/>
      </w:r>
      <w:r w:rsidRPr="00072762">
        <w:rPr>
          <w:b/>
          <w:i/>
          <w:lang w:val="en-US" w:eastAsia="en-US"/>
        </w:rPr>
        <w:instrText xml:space="preserve"> REF _Ref210327560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RAN4 to confirm if it’s feasible to reuse existing TDD 2Tx PC1.5 MPR requirements for FDD bands.</w:t>
      </w:r>
      <w:r w:rsidRPr="00072762">
        <w:rPr>
          <w:b/>
          <w:i/>
          <w:lang w:val="en-US" w:eastAsia="en-US"/>
        </w:rPr>
        <w:fldChar w:fldCharType="end"/>
      </w:r>
    </w:p>
    <w:p w14:paraId="156C406E" w14:textId="44E5A6E8" w:rsidR="00C6667A" w:rsidRPr="00072762" w:rsidRDefault="00C6667A" w:rsidP="006272FF">
      <w:pPr>
        <w:jc w:val="both"/>
        <w:rPr>
          <w:b/>
          <w:i/>
          <w:lang w:val="en-US" w:eastAsia="en-US"/>
        </w:rPr>
      </w:pPr>
      <w:r w:rsidRPr="00072762">
        <w:rPr>
          <w:b/>
          <w:i/>
          <w:lang w:val="en-US" w:eastAsia="en-US"/>
        </w:rPr>
        <w:fldChar w:fldCharType="begin"/>
      </w:r>
      <w:r w:rsidRPr="00072762">
        <w:rPr>
          <w:b/>
          <w:i/>
          <w:lang w:val="en-US" w:eastAsia="en-US"/>
        </w:rPr>
        <w:instrText xml:space="preserve"> REF _Ref210327573 \r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Proposal 8:</w:t>
      </w:r>
      <w:r w:rsidRPr="00072762">
        <w:rPr>
          <w:b/>
          <w:i/>
          <w:lang w:val="en-US" w:eastAsia="en-US"/>
        </w:rPr>
        <w:fldChar w:fldCharType="end"/>
      </w:r>
      <w:r w:rsidRPr="00072762">
        <w:rPr>
          <w:b/>
          <w:i/>
          <w:lang w:val="en-US" w:eastAsia="en-US"/>
        </w:rPr>
        <w:t xml:space="preserve"> </w:t>
      </w:r>
      <w:r w:rsidRPr="00072762">
        <w:rPr>
          <w:b/>
          <w:i/>
          <w:lang w:val="en-US" w:eastAsia="en-US"/>
        </w:rPr>
        <w:fldChar w:fldCharType="begin"/>
      </w:r>
      <w:r w:rsidRPr="00072762">
        <w:rPr>
          <w:b/>
          <w:i/>
          <w:lang w:val="en-US" w:eastAsia="en-US"/>
        </w:rPr>
        <w:instrText xml:space="preserve"> REF _Ref210327573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Once MPR requirements are concluded, continue to study A-MPR for the example bands (n1 and n25).</w:t>
      </w:r>
      <w:r w:rsidRPr="00072762">
        <w:rPr>
          <w:b/>
          <w:i/>
          <w:lang w:val="en-US" w:eastAsia="en-US"/>
        </w:rPr>
        <w:fldChar w:fldCharType="end"/>
      </w:r>
    </w:p>
    <w:p w14:paraId="6270B794" w14:textId="09F73B37" w:rsidR="00C6667A" w:rsidRPr="00072762" w:rsidRDefault="00C6667A" w:rsidP="006272FF">
      <w:pPr>
        <w:jc w:val="both"/>
        <w:rPr>
          <w:b/>
          <w:i/>
          <w:lang w:val="en-US" w:eastAsia="en-US"/>
        </w:rPr>
      </w:pPr>
      <w:r w:rsidRPr="00072762">
        <w:rPr>
          <w:b/>
          <w:i/>
          <w:lang w:val="en-US" w:eastAsia="en-US"/>
        </w:rPr>
        <w:fldChar w:fldCharType="begin"/>
      </w:r>
      <w:r w:rsidRPr="00072762">
        <w:rPr>
          <w:b/>
          <w:i/>
          <w:lang w:val="en-US" w:eastAsia="en-US"/>
        </w:rPr>
        <w:instrText xml:space="preserve"> REF _Ref210327589 \r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Proposal 9:</w:t>
      </w:r>
      <w:r w:rsidRPr="00072762">
        <w:rPr>
          <w:b/>
          <w:i/>
          <w:lang w:val="en-US" w:eastAsia="en-US"/>
        </w:rPr>
        <w:fldChar w:fldCharType="end"/>
      </w:r>
      <w:r w:rsidRPr="00072762">
        <w:rPr>
          <w:b/>
          <w:i/>
          <w:lang w:val="en-US" w:eastAsia="en-US"/>
        </w:rPr>
        <w:t xml:space="preserve"> </w:t>
      </w:r>
      <w:r w:rsidRPr="00072762">
        <w:rPr>
          <w:b/>
          <w:i/>
          <w:lang w:val="en-US" w:eastAsia="en-US"/>
        </w:rPr>
        <w:fldChar w:fldCharType="begin"/>
      </w:r>
      <w:r w:rsidRPr="00072762">
        <w:rPr>
          <w:b/>
          <w:i/>
          <w:lang w:val="en-US" w:eastAsia="en-US"/>
        </w:rPr>
        <w:instrText xml:space="preserve"> REF _Ref210327589 \h </w:instrText>
      </w:r>
      <w:r w:rsidR="00072762" w:rsidRP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RSD for the example bands (n1 and n25) can be evaluated in parallel to the Tx requirements.</w:t>
      </w:r>
      <w:r w:rsidRPr="00072762">
        <w:rPr>
          <w:b/>
          <w:i/>
          <w:lang w:val="en-US" w:eastAsia="en-US"/>
        </w:rPr>
        <w:fldChar w:fldCharType="end"/>
      </w:r>
    </w:p>
    <w:p w14:paraId="5B1A97E4" w14:textId="6B63033A" w:rsidR="00C6667A" w:rsidRPr="00072762" w:rsidRDefault="00C6667A" w:rsidP="006272FF">
      <w:pPr>
        <w:jc w:val="both"/>
        <w:rPr>
          <w:b/>
          <w:i/>
          <w:lang w:val="en-US" w:eastAsia="en-US"/>
        </w:rPr>
      </w:pPr>
      <w:r w:rsidRPr="00072762">
        <w:rPr>
          <w:b/>
          <w:i/>
          <w:lang w:val="en-US" w:eastAsia="en-US"/>
        </w:rPr>
        <w:fldChar w:fldCharType="begin"/>
      </w:r>
      <w:r w:rsidRPr="00072762">
        <w:rPr>
          <w:b/>
          <w:i/>
          <w:lang w:val="en-US" w:eastAsia="en-US"/>
        </w:rPr>
        <w:instrText xml:space="preserve"> REF _Ref210327602 \r \h </w:instrText>
      </w:r>
      <w:r w:rsid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Proposal 10:</w:t>
      </w:r>
      <w:r w:rsidRPr="00072762">
        <w:rPr>
          <w:b/>
          <w:i/>
          <w:lang w:val="en-US" w:eastAsia="en-US"/>
        </w:rPr>
        <w:fldChar w:fldCharType="end"/>
      </w:r>
      <w:r w:rsidRPr="00072762">
        <w:rPr>
          <w:b/>
          <w:i/>
          <w:lang w:val="en-US" w:eastAsia="en-US"/>
        </w:rPr>
        <w:t xml:space="preserve"> </w:t>
      </w:r>
      <w:r w:rsidRPr="00072762">
        <w:rPr>
          <w:b/>
          <w:i/>
          <w:lang w:val="en-US" w:eastAsia="en-US"/>
        </w:rPr>
        <w:fldChar w:fldCharType="begin"/>
      </w:r>
      <w:r w:rsidRPr="00072762">
        <w:rPr>
          <w:b/>
          <w:i/>
          <w:lang w:val="en-US" w:eastAsia="en-US"/>
        </w:rPr>
        <w:instrText xml:space="preserve"> REF _Ref210327602 \h </w:instrText>
      </w:r>
      <w:r w:rsidR="00072762">
        <w:rPr>
          <w:b/>
          <w:i/>
          <w:lang w:val="en-US" w:eastAsia="en-US"/>
        </w:rPr>
        <w:instrText xml:space="preserve"> \* MERGEFORMAT </w:instrText>
      </w:r>
      <w:r w:rsidRPr="00072762">
        <w:rPr>
          <w:b/>
          <w:i/>
          <w:lang w:val="en-US" w:eastAsia="en-US"/>
        </w:rPr>
      </w:r>
      <w:r w:rsidRPr="00072762">
        <w:rPr>
          <w:b/>
          <w:i/>
          <w:lang w:val="en-US" w:eastAsia="en-US"/>
        </w:rPr>
        <w:fldChar w:fldCharType="separate"/>
      </w:r>
      <w:r w:rsidRPr="00072762">
        <w:rPr>
          <w:b/>
          <w:i/>
          <w:lang w:val="en-US" w:eastAsia="en-US"/>
        </w:rPr>
        <w:t>Check whether release independence for FDD 2Tx PC1.5 could be the same as that for TDD bands.</w:t>
      </w:r>
      <w:r w:rsidRPr="00072762">
        <w:rPr>
          <w:b/>
          <w:i/>
          <w:lang w:val="en-US" w:eastAsia="en-US"/>
        </w:rPr>
        <w:fldChar w:fldCharType="end"/>
      </w:r>
    </w:p>
    <w:p w14:paraId="19B071DD" w14:textId="77777777" w:rsidR="00B22DA6" w:rsidRDefault="00B22DA6" w:rsidP="006272FF">
      <w:pPr>
        <w:pStyle w:val="Heading1"/>
        <w:numPr>
          <w:ilvl w:val="0"/>
          <w:numId w:val="0"/>
        </w:numPr>
        <w:jc w:val="both"/>
        <w:rPr>
          <w:rFonts w:eastAsia="SimSun"/>
          <w:lang w:eastAsia="zh-CN"/>
        </w:rPr>
      </w:pPr>
      <w:r>
        <w:t>References</w:t>
      </w:r>
    </w:p>
    <w:p w14:paraId="210CF491" w14:textId="66EA3B87" w:rsidR="00C53757" w:rsidRDefault="0035262B" w:rsidP="006272FF">
      <w:pPr>
        <w:jc w:val="both"/>
      </w:pPr>
      <w:r>
        <w:rPr>
          <w:rFonts w:hint="eastAsia"/>
        </w:rPr>
        <w:t>[1]</w:t>
      </w:r>
      <w:r w:rsidR="005369EE">
        <w:t xml:space="preserve"> </w:t>
      </w:r>
      <w:bookmarkStart w:id="14" w:name="_Ref197724158"/>
      <w:r w:rsidR="00F65AB2" w:rsidRPr="00162DFE">
        <w:t>RP-2</w:t>
      </w:r>
      <w:r w:rsidR="00F65AB2">
        <w:t>52952</w:t>
      </w:r>
      <w:r w:rsidR="00F65AB2" w:rsidRPr="00162DFE">
        <w:t>, “</w:t>
      </w:r>
      <w:r w:rsidR="00F65AB2">
        <w:t>New WID: UE RF enhancements for NR FR1, Phase 5</w:t>
      </w:r>
      <w:r w:rsidR="00F65AB2" w:rsidRPr="00162DFE">
        <w:t xml:space="preserve">”, </w:t>
      </w:r>
      <w:r w:rsidR="00F65AB2">
        <w:t>Moderator (vivo),</w:t>
      </w:r>
      <w:r w:rsidR="00F65AB2" w:rsidRPr="00162DFE">
        <w:t xml:space="preserve"> TSG RAN#10</w:t>
      </w:r>
      <w:bookmarkEnd w:id="14"/>
      <w:r w:rsidR="00F65AB2">
        <w:t>9</w:t>
      </w:r>
    </w:p>
    <w:p w14:paraId="090F2AE2" w14:textId="4D4E75EF" w:rsidR="00355387" w:rsidRPr="008A752D" w:rsidRDefault="00BF596D" w:rsidP="006272FF">
      <w:pPr>
        <w:jc w:val="both"/>
        <w:rPr>
          <w:rFonts w:eastAsia="MS Mincho"/>
          <w:lang w:eastAsia="ja-JP"/>
        </w:rPr>
      </w:pPr>
      <w:r>
        <w:rPr>
          <w:lang w:eastAsia="ja-JP"/>
        </w:rPr>
        <w:t xml:space="preserve">[2] R4-2303517 WF on FR1 4Tx UE RF requirements, </w:t>
      </w:r>
      <w:r w:rsidR="008A752D">
        <w:rPr>
          <w:lang w:eastAsia="ja-JP"/>
        </w:rPr>
        <w:t>vivo</w:t>
      </w:r>
      <w:r>
        <w:rPr>
          <w:lang w:eastAsia="ja-JP"/>
        </w:rPr>
        <w:t>, RAN4#106</w:t>
      </w:r>
    </w:p>
    <w:sectPr w:rsidR="00355387" w:rsidRPr="008A752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8687" w14:textId="77777777" w:rsidR="00217002" w:rsidRDefault="00217002" w:rsidP="0052762B">
      <w:r>
        <w:separator/>
      </w:r>
    </w:p>
  </w:endnote>
  <w:endnote w:type="continuationSeparator" w:id="0">
    <w:p w14:paraId="5F85B4A3" w14:textId="77777777" w:rsidR="00217002" w:rsidRDefault="0021700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CEB18" w14:textId="77777777" w:rsidR="00217002" w:rsidRDefault="00217002" w:rsidP="0052762B">
      <w:r>
        <w:separator/>
      </w:r>
    </w:p>
  </w:footnote>
  <w:footnote w:type="continuationSeparator" w:id="0">
    <w:p w14:paraId="4F662FB9" w14:textId="77777777" w:rsidR="00217002" w:rsidRDefault="0021700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E73F00"/>
    <w:multiLevelType w:val="multilevel"/>
    <w:tmpl w:val="4E768B4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096" w:hanging="360"/>
      </w:pPr>
      <w:rPr>
        <w:rFonts w:ascii="Times New Roman" w:eastAsia="Malgun Gothic"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multilevel"/>
    <w:tmpl w:val="8648DA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10"/>
  </w:num>
  <w:num w:numId="5">
    <w:abstractNumId w:val="9"/>
  </w:num>
  <w:num w:numId="6">
    <w:abstractNumId w:val="3"/>
  </w:num>
  <w:num w:numId="7">
    <w:abstractNumId w:val="7"/>
  </w:num>
  <w:num w:numId="8">
    <w:abstractNumId w:val="11"/>
  </w:num>
  <w:num w:numId="9">
    <w:abstractNumId w:val="2"/>
  </w:num>
  <w:num w:numId="10">
    <w:abstractNumId w:val="0"/>
  </w:num>
  <w:num w:numId="11">
    <w:abstractNumId w:val="8"/>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0933"/>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762"/>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6AA"/>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5C28"/>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2DF"/>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CA"/>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45B"/>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02"/>
    <w:rsid w:val="0021704C"/>
    <w:rsid w:val="00217F0A"/>
    <w:rsid w:val="00217F22"/>
    <w:rsid w:val="00220500"/>
    <w:rsid w:val="00220599"/>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425"/>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56E"/>
    <w:rsid w:val="00250986"/>
    <w:rsid w:val="002512DC"/>
    <w:rsid w:val="00251632"/>
    <w:rsid w:val="002531B4"/>
    <w:rsid w:val="00253620"/>
    <w:rsid w:val="00253C2B"/>
    <w:rsid w:val="00253D35"/>
    <w:rsid w:val="002542C8"/>
    <w:rsid w:val="0025430D"/>
    <w:rsid w:val="00254398"/>
    <w:rsid w:val="00254B63"/>
    <w:rsid w:val="00254B95"/>
    <w:rsid w:val="00254FA8"/>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14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69A"/>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2A"/>
    <w:rsid w:val="003D71CE"/>
    <w:rsid w:val="003D7401"/>
    <w:rsid w:val="003E01AA"/>
    <w:rsid w:val="003E1296"/>
    <w:rsid w:val="003E143D"/>
    <w:rsid w:val="003E162A"/>
    <w:rsid w:val="003E16B3"/>
    <w:rsid w:val="003E1BA2"/>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A07"/>
    <w:rsid w:val="00431BEF"/>
    <w:rsid w:val="00431E59"/>
    <w:rsid w:val="00432212"/>
    <w:rsid w:val="00432409"/>
    <w:rsid w:val="00432A6B"/>
    <w:rsid w:val="004331C7"/>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4DB"/>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B10"/>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F46"/>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C49"/>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36"/>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326"/>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655"/>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363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2BB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DFC"/>
    <w:rsid w:val="007002D7"/>
    <w:rsid w:val="007003EF"/>
    <w:rsid w:val="00700D3F"/>
    <w:rsid w:val="00700FC3"/>
    <w:rsid w:val="00701041"/>
    <w:rsid w:val="00702B46"/>
    <w:rsid w:val="00702D05"/>
    <w:rsid w:val="00703165"/>
    <w:rsid w:val="0070325C"/>
    <w:rsid w:val="0070391A"/>
    <w:rsid w:val="00703C33"/>
    <w:rsid w:val="00703CD0"/>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16D1"/>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5547"/>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7C3"/>
    <w:rsid w:val="00810C9F"/>
    <w:rsid w:val="008113DF"/>
    <w:rsid w:val="00811546"/>
    <w:rsid w:val="00811AF8"/>
    <w:rsid w:val="00811BDE"/>
    <w:rsid w:val="00811C6D"/>
    <w:rsid w:val="00812818"/>
    <w:rsid w:val="00812BE4"/>
    <w:rsid w:val="008134ED"/>
    <w:rsid w:val="00813673"/>
    <w:rsid w:val="00814982"/>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52D"/>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15A"/>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812"/>
    <w:rsid w:val="0094135F"/>
    <w:rsid w:val="009427EC"/>
    <w:rsid w:val="009435E6"/>
    <w:rsid w:val="0094389F"/>
    <w:rsid w:val="009441D5"/>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BF9"/>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4C1"/>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2BCB"/>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5C3"/>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383"/>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0DA"/>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6CFF"/>
    <w:rsid w:val="00A5719A"/>
    <w:rsid w:val="00A57CE7"/>
    <w:rsid w:val="00A57F1A"/>
    <w:rsid w:val="00A603D6"/>
    <w:rsid w:val="00A6185C"/>
    <w:rsid w:val="00A62109"/>
    <w:rsid w:val="00A62B5A"/>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39"/>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8F2"/>
    <w:rsid w:val="00AF5B11"/>
    <w:rsid w:val="00AF5DAA"/>
    <w:rsid w:val="00AF7FEB"/>
    <w:rsid w:val="00B006E0"/>
    <w:rsid w:val="00B0086F"/>
    <w:rsid w:val="00B01301"/>
    <w:rsid w:val="00B01914"/>
    <w:rsid w:val="00B01D02"/>
    <w:rsid w:val="00B02414"/>
    <w:rsid w:val="00B029C7"/>
    <w:rsid w:val="00B029D8"/>
    <w:rsid w:val="00B02AE0"/>
    <w:rsid w:val="00B03C3F"/>
    <w:rsid w:val="00B04A98"/>
    <w:rsid w:val="00B04ED1"/>
    <w:rsid w:val="00B04F90"/>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0EAD"/>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363"/>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95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596D"/>
    <w:rsid w:val="00BF6425"/>
    <w:rsid w:val="00BF6840"/>
    <w:rsid w:val="00BF691D"/>
    <w:rsid w:val="00BF6B8A"/>
    <w:rsid w:val="00BF7458"/>
    <w:rsid w:val="00BF7FE9"/>
    <w:rsid w:val="00C0008A"/>
    <w:rsid w:val="00C0165F"/>
    <w:rsid w:val="00C01A77"/>
    <w:rsid w:val="00C02611"/>
    <w:rsid w:val="00C026E6"/>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AE2"/>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51D"/>
    <w:rsid w:val="00C61875"/>
    <w:rsid w:val="00C61E67"/>
    <w:rsid w:val="00C62217"/>
    <w:rsid w:val="00C62E8E"/>
    <w:rsid w:val="00C62FB4"/>
    <w:rsid w:val="00C63266"/>
    <w:rsid w:val="00C634B9"/>
    <w:rsid w:val="00C63AE3"/>
    <w:rsid w:val="00C64439"/>
    <w:rsid w:val="00C65B3E"/>
    <w:rsid w:val="00C6667A"/>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1BF"/>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0A3"/>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32CA"/>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6D60"/>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F12"/>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D23"/>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69"/>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65E5"/>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AB2"/>
    <w:rsid w:val="00F65CE2"/>
    <w:rsid w:val="00F6632C"/>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2D0"/>
    <w:rsid w:val="00F81390"/>
    <w:rsid w:val="00F813F9"/>
    <w:rsid w:val="00F81615"/>
    <w:rsid w:val="00F8191B"/>
    <w:rsid w:val="00F82180"/>
    <w:rsid w:val="00F8292B"/>
    <w:rsid w:val="00F82A05"/>
    <w:rsid w:val="00F83F8E"/>
    <w:rsid w:val="00F843A4"/>
    <w:rsid w:val="00F8466F"/>
    <w:rsid w:val="00F84E0B"/>
    <w:rsid w:val="00F850A0"/>
    <w:rsid w:val="00F857AB"/>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762"/>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清單段落1,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46</TotalTime>
  <Pages>4</Pages>
  <Words>1631</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9</cp:revision>
  <cp:lastPrinted>2010-01-07T02:23:00Z</cp:lastPrinted>
  <dcterms:created xsi:type="dcterms:W3CDTF">2025-10-03T08:43:00Z</dcterms:created>
  <dcterms:modified xsi:type="dcterms:W3CDTF">2025-10-03T18:18:00Z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